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1.0 -->
  <w:body>
    <w:p w:rsidR="00A77B3E">
      <w:pPr>
        <w:spacing w:line="360" w:lineRule="auto"/>
        <w:jc w:val="center"/>
        <w:rPr>
          <w:rFonts w:ascii="黑体" w:eastAsia="黑体" w:hAnsi="黑体" w:cs="黑体"/>
          <w:sz w:val="72"/>
        </w:rPr>
      </w:pPr>
      <w:r>
        <w:rPr>
          <w:rFonts w:ascii="黑体" w:eastAsia="黑体" w:hAnsi="黑体" w:cs="黑体"/>
          <w:sz w:val="72"/>
        </w:rPr>
        <w:t>XXXX大学</w:t>
      </w:r>
    </w:p>
    <w:p w:rsidR="00A77B3E">
      <w:pPr>
        <w:spacing w:line="360" w:lineRule="auto"/>
        <w:jc w:val="center"/>
        <w:rPr>
          <w:rFonts w:ascii="黑体" w:eastAsia="黑体" w:hAnsi="黑体" w:cs="黑体"/>
          <w:sz w:val="52"/>
        </w:rPr>
      </w:pPr>
      <w:r>
        <w:rPr>
          <w:rFonts w:ascii="黑体" w:eastAsia="黑体" w:hAnsi="黑体" w:cs="黑体"/>
          <w:sz w:val="52"/>
        </w:rPr>
        <w:t>毕业（设计）论文</w:t>
      </w:r>
    </w:p>
    <w:p w:rsidR="00A77B3E">
      <w:pPr>
        <w:spacing w:line="360" w:lineRule="auto"/>
        <w:jc w:val="center"/>
        <w:rPr>
          <w:rFonts w:ascii="黑体" w:eastAsia="黑体" w:hAnsi="黑体" w:cs="黑体"/>
          <w:sz w:val="52"/>
        </w:rPr>
      </w:pPr>
    </w:p>
    <w:p w:rsidR="00A77B3E">
      <w:pPr>
        <w:spacing w:line="360" w:lineRule="auto"/>
        <w:jc w:val="center"/>
        <w:rPr>
          <w:rFonts w:ascii="黑体" w:eastAsia="黑体" w:hAnsi="黑体" w:cs="黑体"/>
          <w:sz w:val="36"/>
        </w:rPr>
      </w:pPr>
      <w:r>
        <w:rPr>
          <w:rFonts w:ascii="黑体" w:eastAsia="黑体" w:hAnsi="黑体" w:cs="黑体"/>
          <w:sz w:val="36"/>
        </w:rPr>
        <w:t>（校徽）</w:t>
      </w:r>
    </w:p>
    <w:p w:rsidR="00A77B3E">
      <w:pPr>
        <w:spacing w:line="360" w:lineRule="auto"/>
        <w:jc w:val="center"/>
        <w:rPr>
          <w:rFonts w:ascii="黑体" w:eastAsia="黑体" w:hAnsi="黑体" w:cs="黑体"/>
          <w:sz w:val="36"/>
        </w:rPr>
      </w:pPr>
    </w:p>
    <w:tbl>
      <w:tblPr>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1984"/>
        <w:gridCol w:w="4818"/>
      </w:tblGrid>
      <w:tr>
        <w:tblPrEx>
          <w:tblW w:w="68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论文题目：</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r>
              <w:rPr>
                <w:rFonts w:ascii="黑体" w:eastAsia="黑体" w:hAnsi="黑体" w:cs="黑体"/>
                <w:b w:val="0"/>
                <w:sz w:val="28"/>
              </w:rPr>
              <w:t>贸易战与国际市场：全球政治动荡的影响-俄罗斯与乌克兰之间的冲突对中德贸易的影响</w:t>
            </w: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专业班级：</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    号：</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学生姓名：</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指导教师：</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电    话：</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r>
        <w:tblPrEx>
          <w:tblW w:w="6805" w:type="dxa"/>
          <w:jc w:val="center"/>
          <w:tblCellMar>
            <w:left w:w="108" w:type="dxa"/>
            <w:right w:w="108" w:type="dxa"/>
          </w:tblCellMar>
        </w:tblPrEx>
        <w:trPr>
          <w:jc w:val="center"/>
        </w:trPr>
        <w:tc>
          <w:tcPr>
            <w:tcW w:w="1984" w:type="dxa"/>
            <w:tcBorders>
              <w:top w:val="none" w:sz="0" w:space="0" w:color="auto"/>
              <w:left w:val="none" w:sz="0" w:space="0" w:color="auto"/>
              <w:bottom w:val="none" w:sz="0" w:space="0" w:color="auto"/>
              <w:right w:val="none" w:sz="0" w:space="0" w:color="auto"/>
              <w:tl2br w:val="none" w:sz="0" w:space="0" w:color="auto"/>
              <w:tr2bl w:val="none" w:sz="0" w:space="0" w:color="auto"/>
            </w:tcBorders>
            <w:tcMar>
              <w:top w:w="300" w:type="dxa"/>
            </w:tcMar>
            <w:vAlign w:val="bottom"/>
          </w:tcPr>
          <w:p w:rsidR="00A77B3E">
            <w:pPr>
              <w:spacing w:beforeLines="0" w:afterLines="0" w:line="280" w:lineRule="auto"/>
              <w:jc w:val="center"/>
              <w:rPr>
                <w:rFonts w:ascii="黑体" w:eastAsia="黑体" w:hAnsi="黑体" w:cs="黑体"/>
                <w:b/>
                <w:sz w:val="28"/>
              </w:rPr>
            </w:pPr>
            <w:r>
              <w:rPr>
                <w:rFonts w:ascii="黑体" w:eastAsia="黑体" w:hAnsi="黑体" w:cs="黑体"/>
                <w:b/>
                <w:sz w:val="28"/>
              </w:rPr>
              <w:t>学院名称：</w:t>
            </w:r>
          </w:p>
        </w:tc>
        <w:tc>
          <w:tcPr>
            <w:tcW w:w="4818" w:type="dxa"/>
            <w:tcBorders>
              <w:top w:val="none" w:sz="0" w:space="0" w:color="auto"/>
              <w:left w:val="none" w:sz="0" w:space="0" w:color="auto"/>
              <w:bottom w:val="single" w:sz="8" w:space="0" w:color="auto"/>
              <w:right w:val="none" w:sz="0" w:space="0" w:color="auto"/>
              <w:tl2br w:val="none" w:sz="0" w:space="0" w:color="auto"/>
              <w:tr2bl w:val="none" w:sz="0" w:space="0" w:color="auto"/>
            </w:tcBorders>
          </w:tcPr>
          <w:p w:rsidR="00A77B3E">
            <w:pPr>
              <w:spacing w:beforeLines="0" w:afterLines="0" w:line="280" w:lineRule="auto"/>
              <w:jc w:val="center"/>
              <w:rPr>
                <w:rFonts w:ascii="黑体" w:eastAsia="黑体" w:hAnsi="黑体" w:cs="黑体"/>
                <w:b w:val="0"/>
                <w:sz w:val="28"/>
              </w:rPr>
            </w:pPr>
          </w:p>
        </w:tc>
      </w:tr>
    </w:tbl>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黑体" w:eastAsia="黑体" w:hAnsi="黑体" w:cs="黑体"/>
          <w:sz w:val="28"/>
        </w:rPr>
      </w:pPr>
    </w:p>
    <w:p w:rsidR="00A77B3E">
      <w:pPr>
        <w:spacing w:line="360" w:lineRule="auto"/>
        <w:jc w:val="center"/>
        <w:rPr>
          <w:rFonts w:ascii="宋体" w:eastAsia="宋体" w:hAnsi="宋体" w:cs="宋体"/>
          <w:b/>
          <w:sz w:val="30"/>
        </w:rPr>
      </w:pPr>
      <w:r>
        <w:rPr>
          <w:rFonts w:ascii="宋体" w:eastAsia="宋体" w:hAnsi="宋体" w:cs="宋体"/>
          <w:b/>
          <w:sz w:val="30"/>
        </w:rPr>
        <w:t>完成日期：      年   月   日</w:t>
      </w:r>
    </w:p>
    <w:p w:rsidR="00A77B3E">
      <w:pPr>
        <w:spacing w:line="241" w:lineRule="auto"/>
        <w:jc w:val="center"/>
        <w:rPr>
          <w:rFonts w:ascii="黑体" w:eastAsia="黑体" w:hAnsi="黑体" w:cs="黑体"/>
          <w:b w:val="0"/>
          <w:color w:val="000000"/>
          <w:sz w:val="36"/>
        </w:rPr>
      </w:pPr>
      <w:r>
        <w:rPr>
          <w:rFonts w:ascii="Times New Roman" w:eastAsia="Times New Roman" w:hAnsi="Times New Roman" w:cs="Times New Roman"/>
          <w:b w:val="0"/>
          <w:color w:val="000000"/>
          <w:sz w:val="36"/>
        </w:rPr>
        <w:t xml:space="preserve">X X </w:t>
      </w:r>
      <w:r>
        <w:rPr>
          <w:rFonts w:ascii="黑体" w:eastAsia="黑体" w:hAnsi="黑体" w:cs="黑体"/>
          <w:b w:val="0"/>
          <w:color w:val="000000"/>
          <w:sz w:val="36"/>
        </w:rPr>
        <w:t>大</w:t>
      </w:r>
      <w:r>
        <w:rPr>
          <w:rFonts w:ascii="Times New Roman" w:eastAsia="Times New Roman" w:hAnsi="Times New Roman" w:cs="Times New Roman"/>
          <w:b w:val="0"/>
          <w:color w:val="000000"/>
          <w:sz w:val="36"/>
        </w:rPr>
        <w:t xml:space="preserve"> </w:t>
      </w:r>
      <w:r>
        <w:rPr>
          <w:rFonts w:ascii="黑体" w:eastAsia="黑体" w:hAnsi="黑体" w:cs="黑体"/>
          <w:b w:val="0"/>
          <w:color w:val="000000"/>
          <w:sz w:val="36"/>
        </w:rPr>
        <w:t>学</w:t>
      </w:r>
    </w:p>
    <w:p w:rsidR="00A77B3E">
      <w:pPr>
        <w:spacing w:before="409" w:after="409" w:line="241" w:lineRule="auto"/>
        <w:jc w:val="center"/>
        <w:rPr>
          <w:rFonts w:ascii="黑体" w:eastAsia="黑体" w:hAnsi="黑体" w:cs="黑体"/>
          <w:b w:val="0"/>
          <w:color w:val="000000"/>
          <w:sz w:val="36"/>
        </w:rPr>
      </w:pPr>
      <w:r>
        <w:rPr>
          <w:rFonts w:ascii="黑体" w:eastAsia="黑体" w:hAnsi="黑体" w:cs="黑体"/>
          <w:b w:val="0"/>
          <w:color w:val="000000"/>
          <w:sz w:val="36"/>
        </w:rPr>
        <w:t>毕业论文（设计）原创性声明</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人郑重声明：所呈交的论文（设计）是本人在导师的指导下独立进行研究所取得的研究成果。除了文中特别加以标注引用的内容外，本论文不包含任何其他个人或集体已经发表或撰写的成果作品。对本文的研究做出重要贡献的个人和集体，均已在文中以明确方式标明。本人完全意识到本声明的法律后果由本人承担。</w:t>
      </w:r>
    </w:p>
    <w:p w:rsidR="00A77B3E">
      <w:pPr>
        <w:spacing w:before="409" w:after="818" w:line="241" w:lineRule="auto"/>
        <w:ind w:firstLineChars="0"/>
        <w:jc w:val="center"/>
        <w:rPr>
          <w:rFonts w:ascii="宋体" w:eastAsia="宋体" w:hAnsi="宋体" w:cs="宋体"/>
          <w:b w:val="0"/>
          <w:color w:val="333333"/>
          <w:sz w:val="24"/>
        </w:rPr>
      </w:pPr>
      <w:r>
        <w:rPr>
          <w:rFonts w:ascii="宋体" w:eastAsia="宋体" w:hAnsi="宋体" w:cs="宋体"/>
          <w:b w:val="0"/>
          <w:color w:val="333333"/>
          <w:sz w:val="24"/>
        </w:rPr>
        <w:t>学生签名：</w:t>
        <w:tab/>
        <w:tab/>
        <w:tab/>
        <w:tab/>
        <w:tab/>
        <w:tab/>
        <w:t>日期：20    年  月  日</w:t>
      </w:r>
    </w:p>
    <w:p w:rsidR="00A77B3E">
      <w:pPr>
        <w:spacing w:before="409" w:after="409" w:line="241" w:lineRule="auto"/>
        <w:jc w:val="center"/>
        <w:rPr>
          <w:rFonts w:ascii="黑体" w:eastAsia="黑体" w:hAnsi="黑体" w:cs="黑体"/>
          <w:b w:val="0"/>
          <w:color w:val="000000"/>
          <w:sz w:val="36"/>
        </w:rPr>
      </w:pPr>
      <w:r>
        <w:rPr>
          <w:rFonts w:ascii="黑体" w:eastAsia="黑体" w:hAnsi="黑体" w:cs="黑体"/>
          <w:b w:val="0"/>
          <w:color w:val="000000"/>
          <w:sz w:val="36"/>
        </w:rPr>
        <w:t>毕业论文（设计）版权使用授权书</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本毕业论文（设计）作者完全了解学校有关保留、使用论文（设计）的规定，同意学校保留并向国家有关部门或机构送交论文（设计）的复印件和电子版，允许论文（设计）被查阅和借阅。本人授权XX大学可以将本论文（设计）的全部或部分内容编入有关数据库进行检索，可以采用影印、缩印或扫描等复制手段保存和汇编本论文（设计）。</w:t>
      </w: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学生签名：</w:t>
        <w:tab/>
        <w:tab/>
        <w:tab/>
        <w:tab/>
        <w:tab/>
        <w:t xml:space="preserve">     日期：20    年  月  日</w:t>
      </w:r>
    </w:p>
    <w:p w:rsidR="00A77B3E">
      <w:pPr>
        <w:spacing w:before="0" w:after="0" w:line="361" w:lineRule="auto"/>
        <w:ind w:firstLine="480" w:firstLineChars="200"/>
        <w:jc w:val="left"/>
        <w:rPr>
          <w:rFonts w:ascii="宋体" w:eastAsia="宋体" w:hAnsi="宋体" w:cs="宋体"/>
          <w:b w:val="0"/>
          <w:color w:val="333333"/>
          <w:sz w:val="24"/>
        </w:rPr>
      </w:pPr>
      <w:r>
        <w:rPr>
          <w:rFonts w:ascii="宋体" w:eastAsia="宋体" w:hAnsi="宋体" w:cs="宋体"/>
          <w:b w:val="0"/>
          <w:color w:val="333333"/>
          <w:sz w:val="24"/>
        </w:rPr>
        <w:t>导师签名：</w:t>
        <w:tab/>
        <w:tab/>
        <w:tab/>
        <w:tab/>
        <w:tab/>
        <w:t xml:space="preserve">     日期：20    年  月  日</w:t>
      </w:r>
    </w:p>
    <w:p w:rsidR="00A77B3E">
      <w:pPr>
        <w:spacing w:before="300" w:after="300" w:line="600" w:lineRule="atLeast"/>
        <w:jc w:val="center"/>
        <w:rPr>
          <w:rFonts w:ascii="宋体" w:eastAsia="宋体" w:hAnsi="宋体" w:cs="宋体"/>
          <w:b/>
          <w:color w:val="333333"/>
          <w:sz w:val="32"/>
        </w:rPr>
      </w:pPr>
      <w:r>
        <w:rPr>
          <w:rFonts w:ascii="宋体" w:eastAsia="宋体" w:hAnsi="宋体" w:cs="宋体"/>
          <w:b w:val="0"/>
          <w:color w:val="333333"/>
          <w:sz w:val="24"/>
        </w:rPr>
        <w:br w:type="page"/>
      </w:r>
      <w:r>
        <w:rPr>
          <w:rFonts w:ascii="宋体" w:eastAsia="宋体" w:hAnsi="宋体" w:cs="宋体"/>
          <w:b/>
          <w:color w:val="333333"/>
          <w:sz w:val="32"/>
        </w:rPr>
        <w:t>摘要</w:t>
      </w:r>
    </w:p>
    <w:p w:rsidR="00A77B3E">
      <w:pPr>
        <w:spacing w:before="0" w:after="0" w:line="450" w:lineRule="atLeast"/>
        <w:ind w:firstLine="480" w:firstLineChars="200"/>
        <w:jc w:val="left"/>
        <w:rPr>
          <w:rFonts w:ascii="宋体" w:eastAsia="宋体" w:hAnsi="宋体" w:cs="宋体"/>
          <w:b w:val="0"/>
          <w:color w:val="333333"/>
          <w:sz w:val="24"/>
        </w:rPr>
      </w:pPr>
      <w:r>
        <w:rPr>
          <w:rFonts w:ascii="宋体" w:eastAsia="宋体" w:hAnsi="宋体" w:cs="宋体"/>
          <w:b w:val="0"/>
          <w:color w:val="333333"/>
          <w:sz w:val="24"/>
        </w:rPr>
        <w:t>这篇论文主要研究了俄罗斯和乌克兰之间的冲突对中德贸易的影响。首先，该论文介绍了研究背景、目的和意义。然后，论文阐述了全球政治动荡对贸易战的影响，包括政治动荡对贸易战的激化以及贸易战对政治动荡的反应。接下来，论文探讨了全球政治动荡对国际市场的影响，包括政治动荡对国际市场的不确定性以及国际市场对政治动荡的反应。在此基础上，论文分析了俄乌冲突对国际市场的影响，主要包括能源市场的波动、农产品市场的变化和贸易战的加剧。然后，论文研究了俄乌冲突对国际贸易战的影响，包括贸易战的加剧、贸易保护主义的抬头和全球经济增长的放缓。最后, 论文分析了俄罗斯和乌克兰冲突对中德贸易的影响，包括中德贸易的受影响程度、中德贸易的调整与应对以及中德贸易的未来发展趋势。最后，论文总结了研究结果，并对未来的研究方向和改进方向进行了展望。</w:t>
      </w:r>
    </w:p>
    <w:p w:rsidR="00A77B3E">
      <w:pPr>
        <w:spacing w:before="0" w:after="0" w:line="450" w:lineRule="atLeast"/>
        <w:ind w:firstLine="480" w:firstLineChars="200"/>
        <w:jc w:val="left"/>
        <w:rPr>
          <w:rFonts w:ascii="宋体" w:eastAsia="宋体" w:hAnsi="宋体" w:cs="宋体"/>
          <w:b w:val="0"/>
          <w:color w:val="333333"/>
          <w:sz w:val="24"/>
        </w:rPr>
      </w:pPr>
      <w:r>
        <w:rPr>
          <w:rFonts w:ascii="宋体" w:eastAsia="宋体" w:hAnsi="宋体" w:cs="宋体"/>
          <w:b/>
          <w:color w:val="333333"/>
          <w:sz w:val="24"/>
        </w:rPr>
        <w:t>关键词：</w:t>
      </w:r>
      <w:r>
        <w:rPr>
          <w:rFonts w:ascii="宋体" w:eastAsia="宋体" w:hAnsi="宋体" w:cs="宋体"/>
          <w:b w:val="0"/>
          <w:color w:val="333333"/>
          <w:sz w:val="24"/>
        </w:rPr>
        <w:t>俄罗斯和乌克兰冲突，中德贸易，全球政治动荡，贸易战，国际市场。</w:t>
      </w:r>
    </w:p>
    <w:p w:rsidR="00A77B3E">
      <w:pPr>
        <w:spacing w:before="300" w:after="300" w:line="600" w:lineRule="atLeast"/>
        <w:jc w:val="center"/>
        <w:rPr>
          <w:rFonts w:ascii="Times New Roman" w:eastAsia="Times New Roman" w:hAnsi="Times New Roman" w:cs="Times New Roman"/>
          <w:b/>
          <w:color w:val="333333"/>
          <w:sz w:val="32"/>
        </w:rPr>
      </w:pPr>
      <w:r>
        <w:rPr>
          <w:rFonts w:ascii="宋体" w:eastAsia="宋体" w:hAnsi="宋体" w:cs="宋体"/>
          <w:b w:val="0"/>
          <w:color w:val="333333"/>
          <w:sz w:val="24"/>
        </w:rPr>
        <w:br w:type="page"/>
      </w:r>
      <w:r>
        <w:rPr>
          <w:rFonts w:ascii="Times New Roman" w:eastAsia="Times New Roman" w:hAnsi="Times New Roman" w:cs="Times New Roman"/>
          <w:b/>
          <w:color w:val="333333"/>
          <w:sz w:val="32"/>
        </w:rPr>
        <w:t>Abstract</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val="0"/>
          <w:color w:val="333333"/>
          <w:sz w:val="24"/>
        </w:rPr>
        <w:t>This paper mainly examines the impact of the conflict between Russia and Ukraine on Sino-German trade. Firstly, the paper introduces the research background, objectives, and significance. Then, the paper elucidates the effects of global political turmoil on trade wars, including the escalation of trade wars due to political turmoil and the reactions of trade wars to political turmoil. Next, the paper explores the impact of global political turmoil on the international market, including the uncertainty of the international market caused by political turmoil and the reactions of the international market to political turmoil. Based on this, the paper analyzes the impact of the Russia-Ukraine conflict on the international market, mainly including the volatility of the energy market, changes in the agricultural product market, and the intensification of trade wars. Then, the paper studies the impact of the Russia-Ukraine conflict on international trade wars, including the escalation of trade wars, the rise of trade protectionism, and the slowdown of global economic growth. Lastly, the paper analyzes the impact of the Russia-Ukraine conflict on Sino-German trade, including the degree of influence on Sino-German trade, the adjustments and responses of Sino-German trade, and the future development trends of Sino-German trade. Finally, the paper summarizes the research findings and provides prospects for future research directions and improvements.</w:t>
      </w:r>
    </w:p>
    <w:p w:rsidR="00A77B3E">
      <w:pPr>
        <w:spacing w:before="0" w:after="0" w:line="450" w:lineRule="atLeast"/>
        <w:ind w:firstLine="480" w:firstLineChars="200"/>
        <w:jc w:val="left"/>
        <w:rPr>
          <w:rFonts w:ascii="Times New Roman" w:eastAsia="Times New Roman" w:hAnsi="Times New Roman" w:cs="Times New Roman"/>
          <w:b w:val="0"/>
          <w:color w:val="333333"/>
          <w:sz w:val="24"/>
        </w:rPr>
      </w:pPr>
      <w:r>
        <w:rPr>
          <w:rFonts w:ascii="Times New Roman" w:eastAsia="Times New Roman" w:hAnsi="Times New Roman" w:cs="Times New Roman"/>
          <w:b/>
          <w:color w:val="333333"/>
          <w:sz w:val="24"/>
        </w:rPr>
        <w:t>Keyword：</w:t>
      </w:r>
      <w:r>
        <w:rPr>
          <w:rFonts w:ascii="Times New Roman" w:eastAsia="Times New Roman" w:hAnsi="Times New Roman" w:cs="Times New Roman"/>
          <w:b w:val="0"/>
          <w:color w:val="333333"/>
          <w:sz w:val="24"/>
        </w:rPr>
        <w:t>Russian-Ukrainian conflict, Sino-German trade, global political turbulence, trade war, international market.</w:t>
      </w:r>
    </w:p>
    <w:p w:rsidR="00A77B3E">
      <w:pPr>
        <w:pStyle w:val="BodyText"/>
        <w:spacing w:before="0" w:after="0"/>
        <w:jc w:val="center"/>
        <w:rPr>
          <w:rFonts w:ascii="Times New Roman" w:eastAsia="Times New Roman" w:hAnsi="Times New Roman" w:cs="Times New Roman"/>
          <w:b/>
          <w:i w:val="0"/>
          <w:color w:val="333333"/>
          <w:sz w:val="24"/>
        </w:rPr>
      </w:pPr>
      <w:r>
        <w:rPr>
          <w:rFonts w:ascii="Times New Roman" w:eastAsia="Times New Roman" w:hAnsi="Times New Roman" w:cs="Times New Roman"/>
          <w:b w:val="0"/>
          <w:color w:val="333333"/>
          <w:sz w:val="24"/>
        </w:rPr>
        <w:br w:type="page"/>
      </w:r>
      <w:r>
        <w:rPr>
          <w:rFonts w:ascii="Times New Roman" w:eastAsia="Times New Roman" w:hAnsi="Times New Roman" w:cs="Times New Roman"/>
          <w:b/>
          <w:i w:val="0"/>
          <w:color w:val="333333"/>
          <w:sz w:val="24"/>
        </w:rPr>
        <w:t>目录</w:t>
      </w:r>
    </w:p>
    <w:p>
      <w:pPr>
        <w:pStyle w:val="TOC1"/>
        <w:tabs>
          <w:tab w:val="right" w:leader="dot" w:pos="9350"/>
        </w:tabs>
        <w:rPr>
          <w:rFonts w:ascii="Calibri" w:hAnsi="Calibri"/>
          <w:noProof/>
          <w:sz w:val="22"/>
        </w:rPr>
      </w:pPr>
      <w:r w:rsidR="00A77B3E">
        <w:rPr>
          <w:rFonts w:ascii="宋体" w:eastAsia="宋体" w:hAnsi="宋体" w:cs="宋体"/>
          <w:b/>
          <w:i w:val="0"/>
          <w:color w:val="333333"/>
          <w:sz w:val="32"/>
        </w:rPr>
        <w:fldChar w:fldCharType="begin"/>
      </w:r>
      <w:r w:rsidR="00A77B3E">
        <w:rPr>
          <w:rFonts w:ascii="宋体" w:eastAsia="宋体" w:hAnsi="宋体" w:cs="宋体"/>
          <w:b/>
          <w:i w:val="0"/>
          <w:color w:val="333333"/>
          <w:sz w:val="32"/>
        </w:rPr>
        <w:instrText>TOC \o "1-3" \h \z \u</w:instrText>
      </w:r>
      <w:r w:rsidR="00A77B3E">
        <w:rPr>
          <w:rFonts w:ascii="宋体" w:eastAsia="宋体" w:hAnsi="宋体" w:cs="宋体"/>
          <w:b/>
          <w:i w:val="0"/>
          <w:color w:val="333333"/>
          <w:sz w:val="32"/>
        </w:rPr>
        <w:fldChar w:fldCharType="separate"/>
      </w:r>
      <w:hyperlink w:anchor="_Toc256000000" w:history="1">
        <w:r w:rsidR="00A77B3E">
          <w:rPr>
            <w:rStyle w:val="Hyperlink"/>
            <w:rFonts w:ascii="宋体" w:eastAsia="宋体" w:hAnsi="宋体" w:cs="宋体"/>
          </w:rPr>
          <w:t>一、 引言</w:t>
        </w:r>
        <w:r>
          <w:tab/>
        </w:r>
        <w:r>
          <w:fldChar w:fldCharType="begin"/>
        </w:r>
        <w:r>
          <w:instrText xml:space="preserve"> PAGEREF _Toc256000000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1" w:history="1">
        <w:r w:rsidR="00A77B3E">
          <w:rPr>
            <w:rStyle w:val="Hyperlink"/>
            <w:rFonts w:ascii="宋体" w:eastAsia="宋体" w:hAnsi="宋体" w:cs="宋体"/>
          </w:rPr>
          <w:t>1.1 研究俄罗斯与乌克兰之间的冲突对中德贸易的影响的背景</w:t>
        </w:r>
        <w:r>
          <w:tab/>
        </w:r>
        <w:r>
          <w:fldChar w:fldCharType="begin"/>
        </w:r>
        <w:r>
          <w:instrText xml:space="preserve"> PAGEREF _Toc256000001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2" w:history="1">
        <w:r w:rsidR="00A77B3E">
          <w:rPr>
            <w:rStyle w:val="Hyperlink"/>
            <w:rFonts w:ascii="宋体" w:eastAsia="宋体" w:hAnsi="宋体" w:cs="宋体"/>
          </w:rPr>
          <w:t>1.2 研究俄罗斯与乌克兰之间的冲突对中德贸易的影响的目的</w:t>
        </w:r>
        <w:r>
          <w:tab/>
        </w:r>
        <w:r>
          <w:fldChar w:fldCharType="begin"/>
        </w:r>
        <w:r>
          <w:instrText xml:space="preserve"> PAGEREF _Toc256000002 \h </w:instrText>
        </w:r>
        <w:r>
          <w:fldChar w:fldCharType="separate"/>
        </w:r>
        <w:r>
          <w:t>6</w:t>
        </w:r>
        <w:r>
          <w:fldChar w:fldCharType="end"/>
        </w:r>
      </w:hyperlink>
    </w:p>
    <w:p>
      <w:pPr>
        <w:pStyle w:val="TOC2"/>
        <w:tabs>
          <w:tab w:val="right" w:leader="dot" w:pos="9350"/>
        </w:tabs>
        <w:rPr>
          <w:rFonts w:ascii="Calibri" w:hAnsi="Calibri"/>
          <w:noProof/>
          <w:sz w:val="22"/>
        </w:rPr>
      </w:pPr>
      <w:hyperlink w:anchor="_Toc256000003" w:history="1">
        <w:r w:rsidR="00A77B3E">
          <w:rPr>
            <w:rStyle w:val="Hyperlink"/>
            <w:rFonts w:ascii="宋体" w:eastAsia="宋体" w:hAnsi="宋体" w:cs="宋体"/>
          </w:rPr>
          <w:t>1.3 研究俄罗斯与乌克兰之间的冲突对中德贸易的影响的意义</w:t>
        </w:r>
        <w:r>
          <w:tab/>
        </w:r>
        <w:r>
          <w:fldChar w:fldCharType="begin"/>
        </w:r>
        <w:r>
          <w:instrText xml:space="preserve"> PAGEREF _Toc256000003 \h </w:instrText>
        </w:r>
        <w:r>
          <w:fldChar w:fldCharType="separate"/>
        </w:r>
        <w:r>
          <w:t>7</w:t>
        </w:r>
        <w:r>
          <w:fldChar w:fldCharType="end"/>
        </w:r>
      </w:hyperlink>
    </w:p>
    <w:p>
      <w:pPr>
        <w:pStyle w:val="TOC1"/>
        <w:tabs>
          <w:tab w:val="right" w:leader="dot" w:pos="9350"/>
        </w:tabs>
        <w:rPr>
          <w:rFonts w:ascii="Calibri" w:hAnsi="Calibri"/>
          <w:noProof/>
          <w:sz w:val="22"/>
        </w:rPr>
      </w:pPr>
      <w:hyperlink w:anchor="_Toc256000004" w:history="1">
        <w:r w:rsidR="00A77B3E">
          <w:rPr>
            <w:rStyle w:val="Hyperlink"/>
            <w:rFonts w:ascii="宋体" w:eastAsia="宋体" w:hAnsi="宋体" w:cs="宋体"/>
          </w:rPr>
          <w:t>二、 全球政治动荡对贸易战的影响</w:t>
        </w:r>
        <w:r>
          <w:tab/>
        </w:r>
        <w:r>
          <w:fldChar w:fldCharType="begin"/>
        </w:r>
        <w:r>
          <w:instrText xml:space="preserve"> PAGEREF _Toc256000004 \h </w:instrText>
        </w:r>
        <w:r>
          <w:fldChar w:fldCharType="separate"/>
        </w:r>
        <w:r>
          <w:t>7</w:t>
        </w:r>
        <w:r>
          <w:fldChar w:fldCharType="end"/>
        </w:r>
      </w:hyperlink>
    </w:p>
    <w:p>
      <w:pPr>
        <w:pStyle w:val="TOC2"/>
        <w:tabs>
          <w:tab w:val="right" w:leader="dot" w:pos="9350"/>
        </w:tabs>
        <w:rPr>
          <w:rFonts w:ascii="Calibri" w:hAnsi="Calibri"/>
          <w:noProof/>
          <w:sz w:val="22"/>
        </w:rPr>
      </w:pPr>
      <w:hyperlink w:anchor="_Toc256000005" w:history="1">
        <w:r w:rsidR="00A77B3E">
          <w:rPr>
            <w:rStyle w:val="Hyperlink"/>
            <w:rFonts w:ascii="宋体" w:eastAsia="宋体" w:hAnsi="宋体" w:cs="宋体"/>
          </w:rPr>
          <w:t>2.1 政治动荡对贸易战的激化</w:t>
        </w:r>
        <w:r>
          <w:tab/>
        </w:r>
        <w:r>
          <w:fldChar w:fldCharType="begin"/>
        </w:r>
        <w:r>
          <w:instrText xml:space="preserve"> PAGEREF _Toc256000005 \h </w:instrText>
        </w:r>
        <w:r>
          <w:fldChar w:fldCharType="separate"/>
        </w:r>
        <w:r>
          <w:t>7</w:t>
        </w:r>
        <w:r>
          <w:fldChar w:fldCharType="end"/>
        </w:r>
      </w:hyperlink>
    </w:p>
    <w:p>
      <w:pPr>
        <w:pStyle w:val="TOC2"/>
        <w:tabs>
          <w:tab w:val="right" w:leader="dot" w:pos="9350"/>
        </w:tabs>
        <w:rPr>
          <w:rFonts w:ascii="Calibri" w:hAnsi="Calibri"/>
          <w:noProof/>
          <w:sz w:val="22"/>
        </w:rPr>
      </w:pPr>
      <w:hyperlink w:anchor="_Toc256000006" w:history="1">
        <w:r w:rsidR="00A77B3E">
          <w:rPr>
            <w:rStyle w:val="Hyperlink"/>
            <w:rFonts w:ascii="宋体" w:eastAsia="宋体" w:hAnsi="宋体" w:cs="宋体"/>
          </w:rPr>
          <w:t>2.2 贸易战对政治动荡的反应</w:t>
        </w:r>
        <w:r>
          <w:tab/>
        </w:r>
        <w:r>
          <w:fldChar w:fldCharType="begin"/>
        </w:r>
        <w:r>
          <w:instrText xml:space="preserve"> PAGEREF _Toc256000006 \h </w:instrText>
        </w:r>
        <w:r>
          <w:fldChar w:fldCharType="separate"/>
        </w:r>
        <w:r>
          <w:t>8</w:t>
        </w:r>
        <w:r>
          <w:fldChar w:fldCharType="end"/>
        </w:r>
      </w:hyperlink>
    </w:p>
    <w:p>
      <w:pPr>
        <w:pStyle w:val="TOC2"/>
        <w:tabs>
          <w:tab w:val="right" w:leader="dot" w:pos="9350"/>
        </w:tabs>
        <w:rPr>
          <w:rFonts w:ascii="Calibri" w:hAnsi="Calibri"/>
          <w:noProof/>
          <w:sz w:val="22"/>
        </w:rPr>
      </w:pPr>
      <w:hyperlink w:anchor="_Toc256000007" w:history="1">
        <w:r w:rsidR="00A77B3E">
          <w:rPr>
            <w:rStyle w:val="Hyperlink"/>
            <w:rFonts w:ascii="宋体" w:eastAsia="宋体" w:hAnsi="宋体" w:cs="宋体"/>
          </w:rPr>
          <w:t>2.3 全球政治动荡与贸易战的互动</w:t>
        </w:r>
        <w:r>
          <w:tab/>
        </w:r>
        <w:r>
          <w:fldChar w:fldCharType="begin"/>
        </w:r>
        <w:r>
          <w:instrText xml:space="preserve"> PAGEREF _Toc256000007 \h </w:instrText>
        </w:r>
        <w:r>
          <w:fldChar w:fldCharType="separate"/>
        </w:r>
        <w:r>
          <w:t>8</w:t>
        </w:r>
        <w:r>
          <w:fldChar w:fldCharType="end"/>
        </w:r>
      </w:hyperlink>
    </w:p>
    <w:p>
      <w:pPr>
        <w:pStyle w:val="TOC1"/>
        <w:tabs>
          <w:tab w:val="right" w:leader="dot" w:pos="9350"/>
        </w:tabs>
        <w:rPr>
          <w:rFonts w:ascii="Calibri" w:hAnsi="Calibri"/>
          <w:noProof/>
          <w:sz w:val="22"/>
        </w:rPr>
      </w:pPr>
      <w:hyperlink w:anchor="_Toc256000008" w:history="1">
        <w:r w:rsidR="00A77B3E">
          <w:rPr>
            <w:rStyle w:val="Hyperlink"/>
            <w:rFonts w:ascii="宋体" w:eastAsia="宋体" w:hAnsi="宋体" w:cs="宋体"/>
          </w:rPr>
          <w:t>三、 全球政治动荡对国际市场的影响</w:t>
        </w:r>
        <w:r>
          <w:tab/>
        </w:r>
        <w:r>
          <w:fldChar w:fldCharType="begin"/>
        </w:r>
        <w:r>
          <w:instrText xml:space="preserve"> PAGEREF _Toc256000008 \h </w:instrText>
        </w:r>
        <w:r>
          <w:fldChar w:fldCharType="separate"/>
        </w:r>
        <w:r>
          <w:t>9</w:t>
        </w:r>
        <w:r>
          <w:fldChar w:fldCharType="end"/>
        </w:r>
      </w:hyperlink>
    </w:p>
    <w:p>
      <w:pPr>
        <w:pStyle w:val="TOC2"/>
        <w:tabs>
          <w:tab w:val="right" w:leader="dot" w:pos="9350"/>
        </w:tabs>
        <w:rPr>
          <w:rFonts w:ascii="Calibri" w:hAnsi="Calibri"/>
          <w:noProof/>
          <w:sz w:val="22"/>
        </w:rPr>
      </w:pPr>
      <w:hyperlink w:anchor="_Toc256000009" w:history="1">
        <w:r w:rsidR="00A77B3E">
          <w:rPr>
            <w:rStyle w:val="Hyperlink"/>
            <w:rFonts w:ascii="宋体" w:eastAsia="宋体" w:hAnsi="宋体" w:cs="宋体"/>
          </w:rPr>
          <w:t>3.1 政治动荡对国际市场的不确定性</w:t>
        </w:r>
        <w:r>
          <w:tab/>
        </w:r>
        <w:r>
          <w:fldChar w:fldCharType="begin"/>
        </w:r>
        <w:r>
          <w:instrText xml:space="preserve"> PAGEREF _Toc256000009 \h </w:instrText>
        </w:r>
        <w:r>
          <w:fldChar w:fldCharType="separate"/>
        </w:r>
        <w:r>
          <w:t>9</w:t>
        </w:r>
        <w:r>
          <w:fldChar w:fldCharType="end"/>
        </w:r>
      </w:hyperlink>
    </w:p>
    <w:p>
      <w:pPr>
        <w:pStyle w:val="TOC2"/>
        <w:tabs>
          <w:tab w:val="right" w:leader="dot" w:pos="9350"/>
        </w:tabs>
        <w:rPr>
          <w:rFonts w:ascii="Calibri" w:hAnsi="Calibri"/>
          <w:noProof/>
          <w:sz w:val="22"/>
        </w:rPr>
      </w:pPr>
      <w:hyperlink w:anchor="_Toc256000010" w:history="1">
        <w:r w:rsidR="00A77B3E">
          <w:rPr>
            <w:rStyle w:val="Hyperlink"/>
            <w:rFonts w:ascii="宋体" w:eastAsia="宋体" w:hAnsi="宋体" w:cs="宋体"/>
          </w:rPr>
          <w:t>3.2 国际市场对政治动荡的反应</w:t>
        </w:r>
        <w:r>
          <w:tab/>
        </w:r>
        <w:r>
          <w:fldChar w:fldCharType="begin"/>
        </w:r>
        <w:r>
          <w:instrText xml:space="preserve"> PAGEREF _Toc256000010 \h </w:instrText>
        </w:r>
        <w:r>
          <w:fldChar w:fldCharType="separate"/>
        </w:r>
        <w:r>
          <w:t>9</w:t>
        </w:r>
        <w:r>
          <w:fldChar w:fldCharType="end"/>
        </w:r>
      </w:hyperlink>
    </w:p>
    <w:p>
      <w:pPr>
        <w:pStyle w:val="TOC2"/>
        <w:tabs>
          <w:tab w:val="right" w:leader="dot" w:pos="9350"/>
        </w:tabs>
        <w:rPr>
          <w:rFonts w:ascii="Calibri" w:hAnsi="Calibri"/>
          <w:noProof/>
          <w:sz w:val="22"/>
        </w:rPr>
      </w:pPr>
      <w:hyperlink w:anchor="_Toc256000011" w:history="1">
        <w:r w:rsidR="00A77B3E">
          <w:rPr>
            <w:rStyle w:val="Hyperlink"/>
            <w:rFonts w:ascii="宋体" w:eastAsia="宋体" w:hAnsi="宋体" w:cs="宋体"/>
          </w:rPr>
          <w:t>3.3 全球政治动荡与国际市场的互动</w:t>
        </w:r>
        <w:r>
          <w:tab/>
        </w:r>
        <w:r>
          <w:fldChar w:fldCharType="begin"/>
        </w:r>
        <w:r>
          <w:instrText xml:space="preserve"> PAGEREF _Toc256000011 \h </w:instrText>
        </w:r>
        <w:r>
          <w:fldChar w:fldCharType="separate"/>
        </w:r>
        <w:r>
          <w:t>10</w:t>
        </w:r>
        <w:r>
          <w:fldChar w:fldCharType="end"/>
        </w:r>
      </w:hyperlink>
    </w:p>
    <w:p>
      <w:pPr>
        <w:pStyle w:val="TOC1"/>
        <w:tabs>
          <w:tab w:val="right" w:leader="dot" w:pos="9350"/>
        </w:tabs>
        <w:rPr>
          <w:rFonts w:ascii="Calibri" w:hAnsi="Calibri"/>
          <w:noProof/>
          <w:sz w:val="22"/>
        </w:rPr>
      </w:pPr>
      <w:hyperlink w:anchor="_Toc256000012" w:history="1">
        <w:r w:rsidR="00A77B3E">
          <w:rPr>
            <w:rStyle w:val="Hyperlink"/>
            <w:rFonts w:ascii="宋体" w:eastAsia="宋体" w:hAnsi="宋体" w:cs="宋体"/>
          </w:rPr>
          <w:t>四、 俄乌冲突对国际市场的影响</w:t>
        </w:r>
        <w:r>
          <w:tab/>
        </w:r>
        <w:r>
          <w:fldChar w:fldCharType="begin"/>
        </w:r>
        <w:r>
          <w:instrText xml:space="preserve"> PAGEREF _Toc256000012 \h </w:instrText>
        </w:r>
        <w:r>
          <w:fldChar w:fldCharType="separate"/>
        </w:r>
        <w:r>
          <w:t>10</w:t>
        </w:r>
        <w:r>
          <w:fldChar w:fldCharType="end"/>
        </w:r>
      </w:hyperlink>
    </w:p>
    <w:p>
      <w:pPr>
        <w:pStyle w:val="TOC2"/>
        <w:tabs>
          <w:tab w:val="right" w:leader="dot" w:pos="9350"/>
        </w:tabs>
        <w:rPr>
          <w:rFonts w:ascii="Calibri" w:hAnsi="Calibri"/>
          <w:noProof/>
          <w:sz w:val="22"/>
        </w:rPr>
      </w:pPr>
      <w:hyperlink w:anchor="_Toc256000013" w:history="1">
        <w:r w:rsidR="00A77B3E">
          <w:rPr>
            <w:rStyle w:val="Hyperlink"/>
            <w:rFonts w:ascii="宋体" w:eastAsia="宋体" w:hAnsi="宋体" w:cs="宋体"/>
          </w:rPr>
          <w:t>4.1 能源市场的波动</w:t>
        </w:r>
        <w:r>
          <w:tab/>
        </w:r>
        <w:r>
          <w:fldChar w:fldCharType="begin"/>
        </w:r>
        <w:r>
          <w:instrText xml:space="preserve"> PAGEREF _Toc256000013 \h </w:instrText>
        </w:r>
        <w:r>
          <w:fldChar w:fldCharType="separate"/>
        </w:r>
        <w:r>
          <w:t>10</w:t>
        </w:r>
        <w:r>
          <w:fldChar w:fldCharType="end"/>
        </w:r>
      </w:hyperlink>
    </w:p>
    <w:p>
      <w:pPr>
        <w:pStyle w:val="TOC2"/>
        <w:tabs>
          <w:tab w:val="right" w:leader="dot" w:pos="9350"/>
        </w:tabs>
        <w:rPr>
          <w:rFonts w:ascii="Calibri" w:hAnsi="Calibri"/>
          <w:noProof/>
          <w:sz w:val="22"/>
        </w:rPr>
      </w:pPr>
      <w:hyperlink w:anchor="_Toc256000014" w:history="1">
        <w:r w:rsidR="00A77B3E">
          <w:rPr>
            <w:rStyle w:val="Hyperlink"/>
            <w:rFonts w:ascii="宋体" w:eastAsia="宋体" w:hAnsi="宋体" w:cs="宋体"/>
          </w:rPr>
          <w:t>4.2 农产品市场的变化</w:t>
        </w:r>
        <w:r>
          <w:tab/>
        </w:r>
        <w:r>
          <w:fldChar w:fldCharType="begin"/>
        </w:r>
        <w:r>
          <w:instrText xml:space="preserve"> PAGEREF _Toc256000014 \h </w:instrText>
        </w:r>
        <w:r>
          <w:fldChar w:fldCharType="separate"/>
        </w:r>
        <w:r>
          <w:t>11</w:t>
        </w:r>
        <w:r>
          <w:fldChar w:fldCharType="end"/>
        </w:r>
      </w:hyperlink>
    </w:p>
    <w:p>
      <w:pPr>
        <w:pStyle w:val="TOC2"/>
        <w:tabs>
          <w:tab w:val="right" w:leader="dot" w:pos="9350"/>
        </w:tabs>
        <w:rPr>
          <w:rFonts w:ascii="Calibri" w:hAnsi="Calibri"/>
          <w:noProof/>
          <w:sz w:val="22"/>
        </w:rPr>
      </w:pPr>
      <w:hyperlink w:anchor="_Toc256000015" w:history="1">
        <w:r w:rsidR="00A77B3E">
          <w:rPr>
            <w:rStyle w:val="Hyperlink"/>
            <w:rFonts w:ascii="宋体" w:eastAsia="宋体" w:hAnsi="宋体" w:cs="宋体"/>
          </w:rPr>
          <w:t>4.3 贸易战的加剧</w:t>
        </w:r>
        <w:r>
          <w:tab/>
        </w:r>
        <w:r>
          <w:fldChar w:fldCharType="begin"/>
        </w:r>
        <w:r>
          <w:instrText xml:space="preserve"> PAGEREF _Toc256000015 \h </w:instrText>
        </w:r>
        <w:r>
          <w:fldChar w:fldCharType="separate"/>
        </w:r>
        <w:r>
          <w:t>11</w:t>
        </w:r>
        <w:r>
          <w:fldChar w:fldCharType="end"/>
        </w:r>
      </w:hyperlink>
    </w:p>
    <w:p>
      <w:pPr>
        <w:pStyle w:val="TOC1"/>
        <w:tabs>
          <w:tab w:val="right" w:leader="dot" w:pos="9350"/>
        </w:tabs>
        <w:rPr>
          <w:rFonts w:ascii="Calibri" w:hAnsi="Calibri"/>
          <w:noProof/>
          <w:sz w:val="22"/>
        </w:rPr>
      </w:pPr>
      <w:hyperlink w:anchor="_Toc256000016" w:history="1">
        <w:r w:rsidR="00A77B3E">
          <w:rPr>
            <w:rStyle w:val="Hyperlink"/>
            <w:rFonts w:ascii="宋体" w:eastAsia="宋体" w:hAnsi="宋体" w:cs="宋体"/>
          </w:rPr>
          <w:t>五、 俄乌冲突对国际贸易战的影响</w:t>
        </w:r>
        <w:r>
          <w:tab/>
        </w:r>
        <w:r>
          <w:fldChar w:fldCharType="begin"/>
        </w:r>
        <w:r>
          <w:instrText xml:space="preserve"> PAGEREF _Toc256000016 \h </w:instrText>
        </w:r>
        <w:r>
          <w:fldChar w:fldCharType="separate"/>
        </w:r>
        <w:r>
          <w:t>12</w:t>
        </w:r>
        <w:r>
          <w:fldChar w:fldCharType="end"/>
        </w:r>
      </w:hyperlink>
    </w:p>
    <w:p>
      <w:pPr>
        <w:pStyle w:val="TOC2"/>
        <w:tabs>
          <w:tab w:val="right" w:leader="dot" w:pos="9350"/>
        </w:tabs>
        <w:rPr>
          <w:rFonts w:ascii="Calibri" w:hAnsi="Calibri"/>
          <w:noProof/>
          <w:sz w:val="22"/>
        </w:rPr>
      </w:pPr>
      <w:hyperlink w:anchor="_Toc256000017" w:history="1">
        <w:r w:rsidR="00A77B3E">
          <w:rPr>
            <w:rStyle w:val="Hyperlink"/>
            <w:rFonts w:ascii="宋体" w:eastAsia="宋体" w:hAnsi="宋体" w:cs="宋体"/>
          </w:rPr>
          <w:t>5.1 贸易战的加剧</w:t>
        </w:r>
        <w:r>
          <w:tab/>
        </w:r>
        <w:r>
          <w:fldChar w:fldCharType="begin"/>
        </w:r>
        <w:r>
          <w:instrText xml:space="preserve"> PAGEREF _Toc256000017 \h </w:instrText>
        </w:r>
        <w:r>
          <w:fldChar w:fldCharType="separate"/>
        </w:r>
        <w:r>
          <w:t>12</w:t>
        </w:r>
        <w:r>
          <w:fldChar w:fldCharType="end"/>
        </w:r>
      </w:hyperlink>
    </w:p>
    <w:p>
      <w:pPr>
        <w:pStyle w:val="TOC2"/>
        <w:tabs>
          <w:tab w:val="right" w:leader="dot" w:pos="9350"/>
        </w:tabs>
        <w:rPr>
          <w:rFonts w:ascii="Calibri" w:hAnsi="Calibri"/>
          <w:noProof/>
          <w:sz w:val="22"/>
        </w:rPr>
      </w:pPr>
      <w:hyperlink w:anchor="_Toc256000018" w:history="1">
        <w:r w:rsidR="00A77B3E">
          <w:rPr>
            <w:rStyle w:val="Hyperlink"/>
            <w:rFonts w:ascii="宋体" w:eastAsia="宋体" w:hAnsi="宋体" w:cs="宋体"/>
          </w:rPr>
          <w:t>5.2 贸易保护主义的抬头</w:t>
        </w:r>
        <w:r>
          <w:tab/>
        </w:r>
        <w:r>
          <w:fldChar w:fldCharType="begin"/>
        </w:r>
        <w:r>
          <w:instrText xml:space="preserve"> PAGEREF _Toc256000018 \h </w:instrText>
        </w:r>
        <w:r>
          <w:fldChar w:fldCharType="separate"/>
        </w:r>
        <w:r>
          <w:t>12</w:t>
        </w:r>
        <w:r>
          <w:fldChar w:fldCharType="end"/>
        </w:r>
      </w:hyperlink>
    </w:p>
    <w:p>
      <w:pPr>
        <w:pStyle w:val="TOC2"/>
        <w:tabs>
          <w:tab w:val="right" w:leader="dot" w:pos="9350"/>
        </w:tabs>
        <w:rPr>
          <w:rFonts w:ascii="Calibri" w:hAnsi="Calibri"/>
          <w:noProof/>
          <w:sz w:val="22"/>
        </w:rPr>
      </w:pPr>
      <w:hyperlink w:anchor="_Toc256000019" w:history="1">
        <w:r w:rsidR="00A77B3E">
          <w:rPr>
            <w:rStyle w:val="Hyperlink"/>
            <w:rFonts w:ascii="宋体" w:eastAsia="宋体" w:hAnsi="宋体" w:cs="宋体"/>
          </w:rPr>
          <w:t>5.3 全球经济增长的放缓</w:t>
        </w:r>
        <w:r>
          <w:tab/>
        </w:r>
        <w:r>
          <w:fldChar w:fldCharType="begin"/>
        </w:r>
        <w:r>
          <w:instrText xml:space="preserve"> PAGEREF _Toc256000019 \h </w:instrText>
        </w:r>
        <w:r>
          <w:fldChar w:fldCharType="separate"/>
        </w:r>
        <w:r>
          <w:t>13</w:t>
        </w:r>
        <w:r>
          <w:fldChar w:fldCharType="end"/>
        </w:r>
      </w:hyperlink>
    </w:p>
    <w:p>
      <w:pPr>
        <w:pStyle w:val="TOC1"/>
        <w:tabs>
          <w:tab w:val="right" w:leader="dot" w:pos="9350"/>
        </w:tabs>
        <w:rPr>
          <w:rFonts w:ascii="Calibri" w:hAnsi="Calibri"/>
          <w:noProof/>
          <w:sz w:val="22"/>
        </w:rPr>
      </w:pPr>
      <w:hyperlink w:anchor="_Toc256000020" w:history="1">
        <w:r w:rsidR="00A77B3E">
          <w:rPr>
            <w:rStyle w:val="Hyperlink"/>
            <w:rFonts w:ascii="宋体" w:eastAsia="宋体" w:hAnsi="宋体" w:cs="宋体"/>
          </w:rPr>
          <w:t>六、 俄罗斯与乌克兰冲突对中德贸易的影响</w:t>
        </w:r>
        <w:r>
          <w:tab/>
        </w:r>
        <w:r>
          <w:fldChar w:fldCharType="begin"/>
        </w:r>
        <w:r>
          <w:instrText xml:space="preserve"> PAGEREF _Toc256000020 \h </w:instrText>
        </w:r>
        <w:r>
          <w:fldChar w:fldCharType="separate"/>
        </w:r>
        <w:r>
          <w:t>13</w:t>
        </w:r>
        <w:r>
          <w:fldChar w:fldCharType="end"/>
        </w:r>
      </w:hyperlink>
    </w:p>
    <w:p>
      <w:pPr>
        <w:pStyle w:val="TOC2"/>
        <w:tabs>
          <w:tab w:val="right" w:leader="dot" w:pos="9350"/>
        </w:tabs>
        <w:rPr>
          <w:rFonts w:ascii="Calibri" w:hAnsi="Calibri"/>
          <w:noProof/>
          <w:sz w:val="22"/>
        </w:rPr>
      </w:pPr>
      <w:hyperlink w:anchor="_Toc256000021" w:history="1">
        <w:r w:rsidR="00A77B3E">
          <w:rPr>
            <w:rStyle w:val="Hyperlink"/>
            <w:rFonts w:ascii="宋体" w:eastAsia="宋体" w:hAnsi="宋体" w:cs="宋体"/>
          </w:rPr>
          <w:t>6.1 中德贸易的受影响程度</w:t>
        </w:r>
        <w:r>
          <w:tab/>
        </w:r>
        <w:r>
          <w:fldChar w:fldCharType="begin"/>
        </w:r>
        <w:r>
          <w:instrText xml:space="preserve"> PAGEREF _Toc256000021 \h </w:instrText>
        </w:r>
        <w:r>
          <w:fldChar w:fldCharType="separate"/>
        </w:r>
        <w:r>
          <w:t>13</w:t>
        </w:r>
        <w:r>
          <w:fldChar w:fldCharType="end"/>
        </w:r>
      </w:hyperlink>
    </w:p>
    <w:p>
      <w:pPr>
        <w:pStyle w:val="TOC2"/>
        <w:tabs>
          <w:tab w:val="right" w:leader="dot" w:pos="9350"/>
        </w:tabs>
        <w:rPr>
          <w:rFonts w:ascii="Calibri" w:hAnsi="Calibri"/>
          <w:noProof/>
          <w:sz w:val="22"/>
        </w:rPr>
      </w:pPr>
      <w:hyperlink w:anchor="_Toc256000022" w:history="1">
        <w:r w:rsidR="00A77B3E">
          <w:rPr>
            <w:rStyle w:val="Hyperlink"/>
            <w:rFonts w:ascii="宋体" w:eastAsia="宋体" w:hAnsi="宋体" w:cs="宋体"/>
          </w:rPr>
          <w:t>6.2 中德贸易的调整与应对</w:t>
        </w:r>
        <w:r>
          <w:tab/>
        </w:r>
        <w:r>
          <w:fldChar w:fldCharType="begin"/>
        </w:r>
        <w:r>
          <w:instrText xml:space="preserve"> PAGEREF _Toc256000022 \h </w:instrText>
        </w:r>
        <w:r>
          <w:fldChar w:fldCharType="separate"/>
        </w:r>
        <w:r>
          <w:t>14</w:t>
        </w:r>
        <w:r>
          <w:fldChar w:fldCharType="end"/>
        </w:r>
      </w:hyperlink>
    </w:p>
    <w:p>
      <w:pPr>
        <w:pStyle w:val="TOC2"/>
        <w:tabs>
          <w:tab w:val="right" w:leader="dot" w:pos="9350"/>
        </w:tabs>
        <w:rPr>
          <w:rFonts w:ascii="Calibri" w:hAnsi="Calibri"/>
          <w:noProof/>
          <w:sz w:val="22"/>
        </w:rPr>
      </w:pPr>
      <w:hyperlink w:anchor="_Toc256000023" w:history="1">
        <w:r w:rsidR="00A77B3E">
          <w:rPr>
            <w:rStyle w:val="Hyperlink"/>
            <w:rFonts w:ascii="宋体" w:eastAsia="宋体" w:hAnsi="宋体" w:cs="宋体"/>
          </w:rPr>
          <w:t>6.3 中德贸易的未来发展趋势</w:t>
        </w:r>
        <w:r>
          <w:tab/>
        </w:r>
        <w:r>
          <w:fldChar w:fldCharType="begin"/>
        </w:r>
        <w:r>
          <w:instrText xml:space="preserve"> PAGEREF _Toc256000023 \h </w:instrText>
        </w:r>
        <w:r>
          <w:fldChar w:fldCharType="separate"/>
        </w:r>
        <w:r>
          <w:t>14</w:t>
        </w:r>
        <w:r>
          <w:fldChar w:fldCharType="end"/>
        </w:r>
      </w:hyperlink>
    </w:p>
    <w:p>
      <w:pPr>
        <w:pStyle w:val="TOC1"/>
        <w:tabs>
          <w:tab w:val="right" w:leader="dot" w:pos="9350"/>
        </w:tabs>
        <w:rPr>
          <w:rFonts w:ascii="Calibri" w:hAnsi="Calibri"/>
          <w:noProof/>
          <w:sz w:val="22"/>
        </w:rPr>
      </w:pPr>
      <w:hyperlink w:anchor="_Toc256000024" w:history="1">
        <w:r w:rsidR="00A77B3E">
          <w:rPr>
            <w:rStyle w:val="Hyperlink"/>
            <w:rFonts w:ascii="宋体" w:eastAsia="宋体" w:hAnsi="宋体" w:cs="宋体"/>
          </w:rPr>
          <w:t>七、 结论</w:t>
        </w:r>
        <w:r>
          <w:tab/>
        </w:r>
        <w:r>
          <w:fldChar w:fldCharType="begin"/>
        </w:r>
        <w:r>
          <w:instrText xml:space="preserve"> PAGEREF _Toc256000024 \h </w:instrText>
        </w:r>
        <w:r>
          <w:fldChar w:fldCharType="separate"/>
        </w:r>
        <w:r>
          <w:t>15</w:t>
        </w:r>
        <w:r>
          <w:fldChar w:fldCharType="end"/>
        </w:r>
      </w:hyperlink>
    </w:p>
    <w:p>
      <w:pPr>
        <w:pStyle w:val="TOC2"/>
        <w:tabs>
          <w:tab w:val="right" w:leader="dot" w:pos="9350"/>
        </w:tabs>
        <w:rPr>
          <w:rFonts w:ascii="Calibri" w:hAnsi="Calibri"/>
          <w:noProof/>
          <w:sz w:val="22"/>
        </w:rPr>
      </w:pPr>
      <w:hyperlink w:anchor="_Toc256000025" w:history="1">
        <w:r w:rsidR="00A77B3E">
          <w:rPr>
            <w:rStyle w:val="Hyperlink"/>
            <w:rFonts w:ascii="宋体" w:eastAsia="宋体" w:hAnsi="宋体" w:cs="宋体"/>
          </w:rPr>
          <w:t>7.1 研究俄罗斯与乌克兰之间的冲突对中德贸易的影响的总结</w:t>
        </w:r>
        <w:r>
          <w:tab/>
        </w:r>
        <w:r>
          <w:fldChar w:fldCharType="begin"/>
        </w:r>
        <w:r>
          <w:instrText xml:space="preserve"> PAGEREF _Toc256000025 \h </w:instrText>
        </w:r>
        <w:r>
          <w:fldChar w:fldCharType="separate"/>
        </w:r>
        <w:r>
          <w:t>15</w:t>
        </w:r>
        <w:r>
          <w:fldChar w:fldCharType="end"/>
        </w:r>
      </w:hyperlink>
    </w:p>
    <w:p>
      <w:pPr>
        <w:pStyle w:val="TOC2"/>
        <w:tabs>
          <w:tab w:val="right" w:leader="dot" w:pos="9350"/>
        </w:tabs>
        <w:rPr>
          <w:rFonts w:ascii="Calibri" w:hAnsi="Calibri"/>
          <w:noProof/>
          <w:sz w:val="22"/>
        </w:rPr>
      </w:pPr>
      <w:hyperlink w:anchor="_Toc256000026" w:history="1">
        <w:r w:rsidR="00A77B3E">
          <w:rPr>
            <w:rStyle w:val="Hyperlink"/>
            <w:rFonts w:ascii="宋体" w:eastAsia="宋体" w:hAnsi="宋体" w:cs="宋体"/>
          </w:rPr>
          <w:t>7.2 研究展望</w:t>
        </w:r>
        <w:r>
          <w:tab/>
        </w:r>
        <w:r>
          <w:fldChar w:fldCharType="begin"/>
        </w:r>
        <w:r>
          <w:instrText xml:space="preserve"> PAGEREF _Toc256000026 \h </w:instrText>
        </w:r>
        <w:r>
          <w:fldChar w:fldCharType="separate"/>
        </w:r>
        <w:r>
          <w:t>16</w:t>
        </w:r>
        <w:r>
          <w:fldChar w:fldCharType="end"/>
        </w:r>
      </w:hyperlink>
    </w:p>
    <w:p>
      <w:pPr>
        <w:pStyle w:val="TOC2"/>
        <w:tabs>
          <w:tab w:val="right" w:leader="dot" w:pos="9350"/>
        </w:tabs>
        <w:rPr>
          <w:rFonts w:ascii="Calibri" w:hAnsi="Calibri"/>
          <w:noProof/>
          <w:sz w:val="22"/>
        </w:rPr>
      </w:pPr>
      <w:hyperlink w:anchor="_Toc256000027" w:history="1">
        <w:r w:rsidR="00A77B3E">
          <w:rPr>
            <w:rStyle w:val="Hyperlink"/>
            <w:rFonts w:ascii="宋体" w:eastAsia="宋体" w:hAnsi="宋体" w:cs="宋体"/>
          </w:rPr>
          <w:t>7.3 研究局限与改进方向</w:t>
        </w:r>
        <w:r>
          <w:tab/>
        </w:r>
        <w:r>
          <w:fldChar w:fldCharType="begin"/>
        </w:r>
        <w:r>
          <w:instrText xml:space="preserve"> PAGEREF _Toc256000027 \h </w:instrText>
        </w:r>
        <w:r>
          <w:fldChar w:fldCharType="separate"/>
        </w:r>
        <w:r>
          <w:t>16</w:t>
        </w:r>
        <w:r>
          <w:fldChar w:fldCharType="end"/>
        </w:r>
      </w:hyperlink>
    </w:p>
    <w:p>
      <w:pPr>
        <w:pStyle w:val="TOC1"/>
        <w:tabs>
          <w:tab w:val="right" w:leader="dot" w:pos="9350"/>
        </w:tabs>
        <w:rPr>
          <w:rFonts w:ascii="Calibri" w:hAnsi="Calibri"/>
          <w:noProof/>
          <w:sz w:val="22"/>
        </w:rPr>
      </w:pPr>
      <w:hyperlink w:anchor="_Toc256000028" w:history="1">
        <w:r w:rsidR="00A77B3E">
          <w:rPr>
            <w:rStyle w:val="Hyperlink"/>
            <w:rFonts w:ascii="宋体" w:eastAsia="宋体" w:hAnsi="宋体" w:cs="宋体"/>
          </w:rPr>
          <w:t>致谢</w:t>
        </w:r>
        <w:r>
          <w:tab/>
        </w:r>
        <w:r>
          <w:fldChar w:fldCharType="begin"/>
        </w:r>
        <w:r>
          <w:instrText xml:space="preserve"> PAGEREF _Toc256000028 \h </w:instrText>
        </w:r>
        <w:r>
          <w:fldChar w:fldCharType="separate"/>
        </w:r>
        <w:r>
          <w:t>18</w:t>
        </w:r>
        <w:r>
          <w:fldChar w:fldCharType="end"/>
        </w:r>
      </w:hyperlink>
    </w:p>
    <w:p>
      <w:pPr>
        <w:pStyle w:val="TOC1"/>
        <w:tabs>
          <w:tab w:val="right" w:leader="dot" w:pos="9350"/>
        </w:tabs>
        <w:rPr>
          <w:rFonts w:ascii="Calibri" w:hAnsi="Calibri"/>
          <w:noProof/>
          <w:sz w:val="22"/>
        </w:rPr>
      </w:pPr>
      <w:hyperlink w:anchor="_Toc256000029" w:history="1">
        <w:r w:rsidR="00A77B3E">
          <w:rPr>
            <w:rStyle w:val="Hyperlink"/>
            <w:rFonts w:ascii="宋体" w:eastAsia="宋体" w:hAnsi="宋体" w:cs="宋体"/>
          </w:rPr>
          <w:t>参考文献</w:t>
        </w:r>
        <w:r>
          <w:tab/>
        </w:r>
        <w:r>
          <w:fldChar w:fldCharType="begin"/>
        </w:r>
        <w:r>
          <w:instrText xml:space="preserve"> PAGEREF _Toc256000029 \h </w:instrText>
        </w:r>
        <w:r>
          <w:fldChar w:fldCharType="separate"/>
        </w:r>
        <w:r>
          <w:t>19</w:t>
        </w:r>
        <w:r>
          <w:fldChar w:fldCharType="end"/>
        </w:r>
      </w:hyperlink>
    </w:p>
    <w:p w:rsidR="00A77B3E">
      <w:pPr>
        <w:pStyle w:val="Heading1"/>
        <w:spacing w:before="300" w:after="300" w:line="600" w:lineRule="atLeast"/>
        <w:ind w:firstLineChars="0"/>
        <w:jc w:val="center"/>
        <w:rPr>
          <w:rFonts w:ascii="宋体" w:eastAsia="宋体" w:hAnsi="宋体" w:cs="宋体"/>
          <w:b/>
          <w:i w:val="0"/>
          <w:color w:val="333333"/>
          <w:sz w:val="32"/>
        </w:rPr>
      </w:pPr>
      <w:r>
        <w:rPr>
          <w:rFonts w:ascii="宋体" w:eastAsia="宋体" w:hAnsi="宋体" w:cs="宋体"/>
          <w:b/>
          <w:i w:val="0"/>
          <w:color w:val="333333"/>
          <w:sz w:val="32"/>
        </w:rPr>
        <w:fldChar w:fldCharType="end"/>
      </w:r>
      <w:r>
        <w:rPr>
          <w:rFonts w:ascii="宋体" w:eastAsia="宋体" w:hAnsi="宋体" w:cs="宋体"/>
          <w:b/>
          <w:i w:val="0"/>
          <w:color w:val="333333"/>
          <w:sz w:val="32"/>
        </w:rPr>
        <w:br w:type="page"/>
      </w:r>
      <w:bookmarkStart w:id="0" w:name="_Toc256000000"/>
      <w:r>
        <w:rPr>
          <w:rFonts w:ascii="宋体" w:eastAsia="宋体" w:hAnsi="宋体" w:cs="宋体"/>
          <w:b/>
          <w:i w:val="0"/>
          <w:color w:val="333333"/>
          <w:sz w:val="32"/>
        </w:rPr>
        <w:t>一、 引言</w:t>
      </w:r>
      <w:bookmarkEnd w:id="0"/>
    </w:p>
    <w:p w:rsidR="00A77B3E">
      <w:pPr>
        <w:pStyle w:val="Heading2"/>
        <w:spacing w:before="300" w:after="300" w:line="525" w:lineRule="atLeast"/>
        <w:ind w:firstLineChars="0"/>
        <w:jc w:val="left"/>
        <w:rPr>
          <w:rFonts w:ascii="宋体" w:eastAsia="宋体" w:hAnsi="宋体" w:cs="宋体"/>
          <w:b/>
          <w:i w:val="0"/>
          <w:color w:val="333333"/>
          <w:sz w:val="27"/>
        </w:rPr>
      </w:pPr>
      <w:bookmarkStart w:id="1" w:name="_Toc256000001"/>
      <w:r>
        <w:rPr>
          <w:rFonts w:ascii="宋体" w:eastAsia="宋体" w:hAnsi="宋体" w:cs="宋体"/>
          <w:b/>
          <w:i w:val="0"/>
          <w:color w:val="333333"/>
          <w:sz w:val="27"/>
        </w:rPr>
        <w:t>1.1 研究俄罗斯与乌克兰之间的冲突对中德贸易的影响的背景</w:t>
      </w:r>
      <w:bookmarkEnd w:id="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俄罗斯与乌克兰之间的冲突对中德贸易的影响是一个重要的课题。随着全球化的推进，国际贸易在全球经济中扮演着至关重要的角色。中德作为世界上两个最大的贸易国家之一，其贸易活动对全球市场和全球经济增长有着重要影响。而俄罗斯与乌克兰之间的冲突引发了一系列的政治动荡，这对全球贸易和国际市场产生了不可忽视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俄罗斯与乌克兰之间的冲突导致了地区安全形势的不稳定，而地区安全形势的不稳定直接影响到中德贸易的稳定性和可预测性。政治动荡加剧了贸易战的风险，使中德企业的贸易活动面临着不确定性，这可能导致贸易量的下降或者停滞。此外，安全形势的恶化还可能导致贸易通道的封锁或者难以通行，给中德贸易带来了不小的困扰。</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俄乌冲突对能源市场和农产品市场的波动也对中德贸易造成了直接的影响。俄罗斯是世界上最大的天然气出口国，而乌克兰则是天然气管道的重要中转国。俄乌冲突导致了天然气供应的不稳定，这对中德的能源供应链产生了影响。同时，俄乌冲突还导致了农产品市场的不稳定和变化，这也对中德农产品贸易带来了挑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贸易战和贸易保护主义的抬头也是俄乌冲突对中德贸易产生影响的重要因素。俄乌冲突导致了国际贸易环境的不稳定和紧张，各国纷纷采取贸易保护主义政策，进一步加剧了贸易摩擦和贸易壁垒。这对中德贸易来说，可能意味着贸易伙伴的减少、贸易壁垒的增加和贸易成本的上升，给中德贸易带来了一定的压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对于中德两国来说，研究俄罗斯与乌克兰之间的冲突对中德贸易的影响具有重要的意义。了解这些影响可以帮助中德政府和企业更好地应对贸易风险和挑战，制定相应的政策和战略措施。同时，这也有助于加深对全球政治动荡与贸易战、国际市场之间互动关系的理解，对于推动全球贸易的稳定和可持续发展具有重要意义。</w:t>
      </w:r>
    </w:p>
    <w:p w:rsidR="00A77B3E">
      <w:pPr>
        <w:pStyle w:val="Heading2"/>
        <w:spacing w:before="300" w:after="300" w:line="525" w:lineRule="atLeast"/>
        <w:ind w:firstLineChars="0"/>
        <w:jc w:val="left"/>
        <w:rPr>
          <w:rFonts w:ascii="宋体" w:eastAsia="宋体" w:hAnsi="宋体" w:cs="宋体"/>
          <w:b/>
          <w:i w:val="0"/>
          <w:color w:val="333333"/>
          <w:sz w:val="27"/>
        </w:rPr>
      </w:pPr>
      <w:bookmarkStart w:id="2" w:name="_Toc256000002"/>
      <w:r>
        <w:rPr>
          <w:rFonts w:ascii="宋体" w:eastAsia="宋体" w:hAnsi="宋体" w:cs="宋体"/>
          <w:b/>
          <w:i w:val="0"/>
          <w:color w:val="333333"/>
          <w:sz w:val="27"/>
        </w:rPr>
        <w:t>1.2 研究俄罗斯与乌克兰之间的冲突对中德贸易的影响的目的</w:t>
      </w:r>
      <w:bookmarkEnd w:id="2"/>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研究俄罗斯与乌克兰之间的冲突对中德贸易的影响的目的在于深入探究这一冲突对中德贸易所带来的影响，并为相关政策制定和商业决策提供理论基础和实践指导。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了解俄罗斯与乌克兰之间的冲突对中德贸易的影响有助于评估这一冲突对中德两国经济的影响程度。通过对双边贸易额、贸易结构以及贸易流向等指标的分析，可以揭示俄乌冲突对中德贸易的实际影响。这一研究目的的实现将有助于指导中德双方在经济合作方面的决策，包括贸易政策的调整和贸易关系的优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研究俄罗斯与乌克兰之间的冲突对中德贸易的影响的目的在于分析可能的商业风险和机遇。冲突之下的市场环境变化，如政策不确定性、市场需求波动以及国际贸易法规的调整等，都会对中德贸易产生潜在影响。通过对这些影响因素的研究，可以帮助中德企业更好地应对风险，寻找商机，并制定相应的市场策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了解俄乌冲突对中德贸易的影响也有助于推动政治和经济间的合作。通过深入研究冲突对贸易的影响，可以加深中德两国之间在贸易领域的相互了解，并激发双方合作的动力。这有助于促进中德两国在其他领域的合作，并为双边关系的发展提供更为稳固的基础。</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 xml:space="preserve">综上所述，研究俄罗斯与乌克兰之间的冲突对中德贸易的影响的目的旨在全面掌握这一冲突对中德贸易的潜在影响，为政策制定者和企业决策者提供准确的信息和建议。通过实现这一研究目的，可以为中德贸易的发展和两国间的合作提供更为坚实的基础。 </w:t>
      </w:r>
    </w:p>
    <w:p w:rsidR="00A77B3E">
      <w:pPr>
        <w:pStyle w:val="Heading2"/>
        <w:spacing w:before="300" w:after="300" w:line="525" w:lineRule="atLeast"/>
        <w:ind w:firstLineChars="0"/>
        <w:jc w:val="left"/>
        <w:rPr>
          <w:rFonts w:ascii="宋体" w:eastAsia="宋体" w:hAnsi="宋体" w:cs="宋体"/>
          <w:b/>
          <w:i w:val="0"/>
          <w:color w:val="333333"/>
          <w:sz w:val="27"/>
        </w:rPr>
      </w:pPr>
      <w:bookmarkStart w:id="3" w:name="_Toc256000003"/>
      <w:r>
        <w:rPr>
          <w:rFonts w:ascii="宋体" w:eastAsia="宋体" w:hAnsi="宋体" w:cs="宋体"/>
          <w:b/>
          <w:i w:val="0"/>
          <w:color w:val="333333"/>
          <w:sz w:val="27"/>
        </w:rPr>
        <w:t>1.3 研究俄罗斯与乌克兰之间的冲突对中德贸易的影响的意义</w:t>
      </w:r>
      <w:bookmarkEnd w:id="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俄罗斯与乌克兰之间的冲突对中德贸易的影响具有重要的意义。首先，中德贸易是两国经济的重要组成部分，而且中德之间的贸易规模庞大。因此，了解俄乌冲突对中德贸易的影响能够揭示全球政治动荡对国际贸易的影响机制，对于应对类似情况具有重要的参考价值。</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俄乌冲突对中德贸易的影响将涉及各个领域和行业，特别是能源和农产品等关键产业。这些产业对中德两国的经济增长和就业率具有重要的影响，因此研究其影响意义能够帮助政府和企业更好地评估和规划相关政策和战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此外，研究俄乌冲突对中德贸易的影响还可以为国际贸易政策的制定提供重要的参考依据。通过深入了解和分析影响机制，可以推动国际贸易体系的改革和完善，增加贸易的稳定性和可预测性。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俄乌冲突对中德贸易的影响将对全球经济增长产生一定影响。中德作为全球两大经济体，其贸易关系的稳定与发展对于全球经济的稳定与增长至关重要。因此，研究俄乌冲突对中德贸易的影响的意义还体现在全球经济治理和风险管理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研究俄乌冲突对中德贸易的影响的意义不仅体现在双边经济关系的稳定与发展，还涉及到全球政治动荡对国际贸易以及全球经济增长的影响。这对于提升国际贸易体系的稳定性、完善贸易政策以及增强全球经济的可持续发展具有重要的意义。</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4" w:name="_Toc256000004"/>
      <w:r>
        <w:rPr>
          <w:rFonts w:ascii="宋体" w:eastAsia="宋体" w:hAnsi="宋体" w:cs="宋体"/>
          <w:b/>
          <w:i w:val="0"/>
          <w:color w:val="333333"/>
          <w:sz w:val="32"/>
        </w:rPr>
        <w:t>二、 全球政治动荡对贸易战的影响</w:t>
      </w:r>
      <w:bookmarkEnd w:id="4"/>
    </w:p>
    <w:p w:rsidR="00A77B3E">
      <w:pPr>
        <w:pStyle w:val="Heading2"/>
        <w:spacing w:before="300" w:after="300" w:line="525" w:lineRule="atLeast"/>
        <w:ind w:firstLineChars="0"/>
        <w:jc w:val="left"/>
        <w:rPr>
          <w:rFonts w:ascii="宋体" w:eastAsia="宋体" w:hAnsi="宋体" w:cs="宋体"/>
          <w:b/>
          <w:i w:val="0"/>
          <w:color w:val="333333"/>
          <w:sz w:val="27"/>
        </w:rPr>
      </w:pPr>
      <w:bookmarkStart w:id="5" w:name="_Toc256000005"/>
      <w:r>
        <w:rPr>
          <w:rFonts w:ascii="宋体" w:eastAsia="宋体" w:hAnsi="宋体" w:cs="宋体"/>
          <w:b/>
          <w:i w:val="0"/>
          <w:color w:val="333333"/>
          <w:sz w:val="27"/>
        </w:rPr>
        <w:t>2.1 政治动荡对贸易战的激化</w:t>
      </w:r>
      <w:bookmarkEnd w:id="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政治动荡对贸易战的激化是一个热门的研究领域，因为政治动荡经常与贸易战紧密相连，并且可以进一步加剧贸易战的复杂性和严重性。政治动荡的发生可能导致国家之间的紧张局势升级，这种紧张局势在一定程度上会加剧贸易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在政治动荡的时期，国家之间的政策环境通常变得不稳定。政治上的不确定性会导致国家加强对外贸易的限制措施，例如加征关税、限制贸易额度等。这些举措可能进一步加剧贸易战的激化。政治动荡还可能使政府更加倾向于采取保护主义政策，以支持国内产业和就业机会。而这种保护主义政策通常会引发贸易争端和贸易战的风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政治动荡还可能导致协商和谈判的困难加大，从而增加了解决贸易争端的难度。在政治动荡的时期，各国政府往往更关注国内政治稳定和安全问题，而非国际贸易合作。这种情况下，各方之间的沟通和协商将变得更为困难，导致贸易战的激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此外，政治动荡可能对贸易伙伴之间的互信程度造成负面影响。当国内政治局势动荡不安时，外国企业可能对投资和贸易合作的前景产生担忧。这会导致国际贸易活动受到影响，并可能引发贸易争端的升级。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政治动荡对贸易战的激化具有重要影响。在这种背景下，各国政府应该采取稳定措施，通过加强多边合作和贸易谈判，来缓解贸易战的紧张局势。此外，国际社会也应该加强合作，共同应对全球政治动荡带来的负面影响，推动国际贸易的稳定和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6" w:name="_Toc256000006"/>
      <w:r>
        <w:rPr>
          <w:rFonts w:ascii="宋体" w:eastAsia="宋体" w:hAnsi="宋体" w:cs="宋体"/>
          <w:b/>
          <w:i w:val="0"/>
          <w:color w:val="333333"/>
          <w:sz w:val="27"/>
        </w:rPr>
        <w:t>2.2 贸易战对政治动荡的反应</w:t>
      </w:r>
      <w:bookmarkEnd w:id="6"/>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贸易战对政治动荡产生了多方面的影响。首先，贸易战加剧了国家间的紧张关系和竞争，导致政治动荡加剧。贸易战往往是国家之间为争夺贸易利益而采取的措施，其中包括关税提升、贸易壁垒加强等。这些措施可能导致其他国家的不满和报复，从而引发政治冲突和动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贸易战对政治动荡的反应还表现在国家内部经济形势的变化。贸易战往往伴随着贸易不确定性和经济不稳定性的增加，这可能导致国内企业的收益下降、失业率上升和社会不满情绪的增加。这些因素都可能引发政治动荡，包括社会抗议、政治斗争和政府不稳定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贸易战也给国际合作和多边贸易体系带来了负面影响，进一步加剧了政治动荡。贸易战通常会破坏原有的贸易规则和合作机制，使各国间的合作关系紧张甚至崩溃。这种局势可能导致国家之间存在更多的争端和冲突，加剧了政治动荡的程度和频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贸易战对政治动荡的反应主要体现在国际关系的紧张程度、国内经济形势的变化和国际合作机制的破裂等方面。这些反应共同作用，进一步加剧了全球政治动荡的形势。因此，研究贸易战对政治动荡的影响对于理解全球政治经济格局的变化和预测未来的发展具有重要意义。</w:t>
      </w:r>
    </w:p>
    <w:p w:rsidR="00A77B3E">
      <w:pPr>
        <w:pStyle w:val="Heading2"/>
        <w:spacing w:before="300" w:after="300" w:line="525" w:lineRule="atLeast"/>
        <w:ind w:firstLineChars="0"/>
        <w:jc w:val="left"/>
        <w:rPr>
          <w:rFonts w:ascii="宋体" w:eastAsia="宋体" w:hAnsi="宋体" w:cs="宋体"/>
          <w:b/>
          <w:i w:val="0"/>
          <w:color w:val="333333"/>
          <w:sz w:val="27"/>
        </w:rPr>
      </w:pPr>
      <w:bookmarkStart w:id="7" w:name="_Toc256000007"/>
      <w:r>
        <w:rPr>
          <w:rFonts w:ascii="宋体" w:eastAsia="宋体" w:hAnsi="宋体" w:cs="宋体"/>
          <w:b/>
          <w:i w:val="0"/>
          <w:color w:val="333333"/>
          <w:sz w:val="27"/>
        </w:rPr>
        <w:t>2.3 全球政治动荡与贸易战的互动</w:t>
      </w:r>
      <w:bookmarkEnd w:id="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全球政治动荡与贸易战之间存在着显著的互动关系。贸易战往往是由国际政治动荡引发或加剧的，同时贸易战在全球政治动荡中也起到一定的推动作用。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全球政治动荡往往会导致贸易战的爆发或升级。在国际政治动荡时期，国家之间的利益冲突和紧张局势增加，贸易摩擦的风险也随之上升。例如，冲突双方可能采取经济制裁措施作为政治斗争的一部分，这往往会导致贸易关系的紧张和对抗性增加。此外，政治动荡还可能导致国家对进口商品产生怀疑和不信任，进而采取保护主义措施，这也会加剧贸易战的可能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贸易战也可以加剧全球政治动荡。贸易战常常伴随着经济的下滑和贸易关系的紧张，这些不稳定因素会对全球政治局势产生重大影响。经济的衰退和失业率的上升可能导致社会不满情绪和政治动荡的加剧。同时，由于贸易战引发的国际关系紧张，国家之间的矛盾和冲突也有可能升级，从而进一步加剧全球政治动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全球政治动荡和贸易战之间也存在相互促进的作用。全球政治动荡往往会引发国家之间的贸易争端，这可能导致贸易保护主义的抬头，从而进一步加剧全球贸易战的风险。而贸易战的爆发和升级也可能引发国内政治动荡，进一步加剧全球政治动荡的程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全球政治动荡与贸易战之间存在着紧密的互动关系。政治动荡往往会导致贸易战的爆发或升级，而贸易战的发生和升级也可能加剧全球政治动荡。这种互动关系需要引起我们的重视，对于各国政府和国际社会来说，及时采取措施缓解政治动荡和贸易战的风险，是维护全球稳定和促进经济发展的重要任务。</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8" w:name="_Toc256000008"/>
      <w:r>
        <w:rPr>
          <w:rFonts w:ascii="宋体" w:eastAsia="宋体" w:hAnsi="宋体" w:cs="宋体"/>
          <w:b/>
          <w:i w:val="0"/>
          <w:color w:val="333333"/>
          <w:sz w:val="32"/>
        </w:rPr>
        <w:t>三、 全球政治动荡对国际市场的影响</w:t>
      </w:r>
      <w:bookmarkEnd w:id="8"/>
    </w:p>
    <w:p w:rsidR="00A77B3E">
      <w:pPr>
        <w:pStyle w:val="Heading2"/>
        <w:spacing w:before="300" w:after="300" w:line="525" w:lineRule="atLeast"/>
        <w:ind w:firstLineChars="0"/>
        <w:jc w:val="left"/>
        <w:rPr>
          <w:rFonts w:ascii="宋体" w:eastAsia="宋体" w:hAnsi="宋体" w:cs="宋体"/>
          <w:b/>
          <w:i w:val="0"/>
          <w:color w:val="333333"/>
          <w:sz w:val="27"/>
        </w:rPr>
      </w:pPr>
      <w:bookmarkStart w:id="9" w:name="_Toc256000009"/>
      <w:r>
        <w:rPr>
          <w:rFonts w:ascii="宋体" w:eastAsia="宋体" w:hAnsi="宋体" w:cs="宋体"/>
          <w:b/>
          <w:i w:val="0"/>
          <w:color w:val="333333"/>
          <w:sz w:val="27"/>
        </w:rPr>
        <w:t>3.1 政治动荡对国际市场的不确定性</w:t>
      </w:r>
      <w:bookmarkEnd w:id="9"/>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政治动荡常常引发国际市场的不确定性，这将对贸易和经济产生一系列的影响。首先，政治动荡导致市场预期不确定，投资者对未来的经济发展趋势产生疑虑。这种不确定性可能导致投资者撤资或暂停投资，从而减少了经济活动和贸易。</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政治动荡还可能导致政策不稳定性，包括贸易政策的不确定性。政府的政策变化可能对进出口有较大影响，例如加征关税、实施贸易限制等。这些政策的变动使得企业难以规划和预测贸易环境，进而降低了贸易的稳定性和可预测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政治动荡还可能导致货币和汇率的波动，给国际贸易带来不确定性。政治动荡常常导致投资者对国家经济前景的忧虑，进而导致资本外流或货币贬值。这种货币和汇率波动会对贸易造成影响，使得企业在进出口交易中面临价格波动和汇率风险，增加了贸易的不确定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政治动荡还可能导致国际贸易关系的紧张和不稳定。不稳定的政治局势可能导致国与国之间的贸易关系紧张，例如制裁、贸易争端等。这些紧张关系会使得贸易成本增加，交易条件变得更加困难，进而增加了贸易的不确定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的来说，政治动荡对国际市场带来的不确定性对贸易产生深远影响。这种不确定性可能导致投资缩减、政策不稳定、汇率波动以及贸易关系紧张等，从而影响企业的贸易决策和经济发展。因此，了解并应对政治动荡对国际市场的不确定性是十分重要的。</w:t>
      </w:r>
    </w:p>
    <w:p w:rsidR="00A77B3E">
      <w:pPr>
        <w:pStyle w:val="Heading2"/>
        <w:spacing w:before="300" w:after="300" w:line="525" w:lineRule="atLeast"/>
        <w:ind w:firstLineChars="0"/>
        <w:jc w:val="left"/>
        <w:rPr>
          <w:rFonts w:ascii="宋体" w:eastAsia="宋体" w:hAnsi="宋体" w:cs="宋体"/>
          <w:b/>
          <w:i w:val="0"/>
          <w:color w:val="333333"/>
          <w:sz w:val="27"/>
        </w:rPr>
      </w:pPr>
      <w:bookmarkStart w:id="10" w:name="_Toc256000010"/>
      <w:r>
        <w:rPr>
          <w:rFonts w:ascii="宋体" w:eastAsia="宋体" w:hAnsi="宋体" w:cs="宋体"/>
          <w:b/>
          <w:i w:val="0"/>
          <w:color w:val="333333"/>
          <w:sz w:val="27"/>
        </w:rPr>
        <w:t>3.2 国际市场对政治动荡的反应</w:t>
      </w:r>
      <w:bookmarkEnd w:id="10"/>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国际市场对政治动荡的反应是一个重要的研究领域，它涉及到政治、经济和国际关系等多个层面的相互作用。在全球化时代，国际市场的发展与国家之间的政治动荡密切相关。本节将探讨国际市场对政治动荡的反应，并分析其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国际市场对政治动荡的反应通常表现为投资者的不确定性增加。当出现政治动荡时，国际市场的参与者会感到不安，不确定性将导致投资者对市场的犹豫和观望态度。这可能会导致投资者减少对相关国家的投资，甚至撤资离开。此外，国际投资者还可能选择将资金投向政治相对稳定的国家，以规避风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国际市场也可能对政治动荡做出积极反应。在一些情况下，政治动荡可能导致市场的不稳定性，这可能激发投机行为。一些投资者可能会利用政治动荡来赚取差价或获得高回报。这可能会导致市场的大幅波动和价格的剧烈变化。政治动荡还可能导致市场供求关系的变化，影响市场价格和市场结构。</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政治动荡还可能导致国际市场的贸易壁垒增加。当国家之间的政治关系紧张时，可能会采取一些贸易保护主义政策，限制进口或加大对外贸易的限制。这将导致国际市场的贸易环境变得复杂和不确定，给企业和市场参与者带来困扰。</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的来说，国际市场对政治动荡的反应是复杂而多变的。它涉及到众多因素的相互作用，包括投资者信心、市场稳定性、贸易政策等。对于研究俄罗斯与乌克兰之间的冲突对中德贸易的影响，我们需要充分了解国际市场对政治动荡的反应机制和影响因素。只有深入研究这一问题，我们才能更好地理解俄罗斯与乌克兰冲突对中德贸易的影响，并为相关国家和市场参与者提供决策和应对策略的建议。</w:t>
      </w:r>
    </w:p>
    <w:p w:rsidR="00A77B3E">
      <w:pPr>
        <w:pStyle w:val="Heading2"/>
        <w:spacing w:before="300" w:after="300" w:line="525" w:lineRule="atLeast"/>
        <w:ind w:firstLineChars="0"/>
        <w:jc w:val="left"/>
        <w:rPr>
          <w:rFonts w:ascii="宋体" w:eastAsia="宋体" w:hAnsi="宋体" w:cs="宋体"/>
          <w:b/>
          <w:i w:val="0"/>
          <w:color w:val="333333"/>
          <w:sz w:val="27"/>
        </w:rPr>
      </w:pPr>
      <w:bookmarkStart w:id="11" w:name="_Toc256000011"/>
      <w:r>
        <w:rPr>
          <w:rFonts w:ascii="宋体" w:eastAsia="宋体" w:hAnsi="宋体" w:cs="宋体"/>
          <w:b/>
          <w:i w:val="0"/>
          <w:color w:val="333333"/>
          <w:sz w:val="27"/>
        </w:rPr>
        <w:t>3.3 全球政治动荡与国际市场的互动</w:t>
      </w:r>
      <w:bookmarkEnd w:id="1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全球政治动荡对国际市场产生了深远的影响，这种互动关系在贸易战爆发后更加显著。政治动荡导致了整个国际市场的不稳定性，给全球贸易带来了诸多挑战与变化。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全球政治动荡加剧了贸易保护主义的抬头。在动荡时期，国家之间的竞争和利益冲突加剧，许多国家采取贸易保护主义政策来保护本国产业和就业市场。这种保护主义措施包括提高关税、限制进口和采取其他贸易壁垒措施。这样的做法使得国际贸易受到严重影响，贸易摩擦和争端不断增加，国际市场进一步动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全球政治动荡也导致了国际市场的不确定性加大。政治动荡局势的不稳定性使得投资者和企业对于未来的经济环境和市场预期更加不确定。投资者对于政治风险和市场风险的担忧导致了资本的流动性减少和投资意愿减弱，这使得国际市场的发展步伐放缓。此外，政治动荡也导致了全球市场对于安全和稳定的需求增加，这进一步加剧了市场的不稳定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全球政治动荡与国际市场之间存在相互影响的关系。国际市场对于政治动荡的反应也会进一步影响政治局势。例如，国际市场的不稳定性和经济下滑可能导致更多的社会动荡和政治矛盾的爆发。同时，政治动荡也会对国际市场的需求和供给产生影响，进一步扩大市场的不平衡。</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的来说，全球政治动荡对国际市场的影响是相互作用的。政治动荡导致了国际市场的不稳定性和不确定性加大，同时国际市场对于政治动荡的反应也会进一步影响到政治局势。因此，我们需要加强国际合作与政策协调，以缓解全球政治动荡对国际市场的负面影响，促进全球市场的稳定和繁荣。</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12" w:name="_Toc256000012"/>
      <w:r>
        <w:rPr>
          <w:rFonts w:ascii="宋体" w:eastAsia="宋体" w:hAnsi="宋体" w:cs="宋体"/>
          <w:b/>
          <w:i w:val="0"/>
          <w:color w:val="333333"/>
          <w:sz w:val="32"/>
        </w:rPr>
        <w:t>四、 俄乌冲突对国际市场的影响</w:t>
      </w:r>
      <w:bookmarkEnd w:id="12"/>
    </w:p>
    <w:p w:rsidR="00A77B3E">
      <w:pPr>
        <w:pStyle w:val="Heading2"/>
        <w:spacing w:before="300" w:after="300" w:line="525" w:lineRule="atLeast"/>
        <w:ind w:firstLineChars="0"/>
        <w:jc w:val="left"/>
        <w:rPr>
          <w:rFonts w:ascii="宋体" w:eastAsia="宋体" w:hAnsi="宋体" w:cs="宋体"/>
          <w:b/>
          <w:i w:val="0"/>
          <w:color w:val="333333"/>
          <w:sz w:val="27"/>
        </w:rPr>
      </w:pPr>
      <w:bookmarkStart w:id="13" w:name="_Toc256000013"/>
      <w:r>
        <w:rPr>
          <w:rFonts w:ascii="宋体" w:eastAsia="宋体" w:hAnsi="宋体" w:cs="宋体"/>
          <w:b/>
          <w:i w:val="0"/>
          <w:color w:val="333333"/>
          <w:sz w:val="27"/>
        </w:rPr>
        <w:t>4.1 能源市场的波动</w:t>
      </w:r>
      <w:bookmarkEnd w:id="1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随着俄罗斯与乌克兰之间冲突的升级，能源市场也受到了较大的波动。俄罗斯是全球最大的天然气和石油出口国之一，乌克兰则是重要的能源转运国家。因此，两国之间的冲突不可避免地对能源市场产生了直接和间接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能源供应的稳定性受到了威胁。乌克兰作为俄罗斯天然气的重要转运国，许多欧洲国家通过乌克兰进口俄罗斯的天然气。但随着俄乌冲突加剧，乌克兰的天然气管道遭到破坏，导致能源供应的不稳定。这使得欧洲国家面临着能源短缺的风险，不得不寻求其他替代能源来源。</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能源价格的波动性增加。俄罗斯是全球能源市场的重要参与者，其能源出口对全球能源价格产生重要影响。冲突的加剧导致投资者对该地区能源供应的不确定性增加，投资者情绪波动加剧，从而导致能源价格的波动增加。这种不确定性和波动性使得能源市场的运行更加复杂，不仅对生产者和消费者造成不利影响，也给市场参与者带来了更大的风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能源供应的多元化势在必行。由于对俄罗斯的依赖程度较高，许多国家在能源供应方面存在较大的脆弱性。为了降低对俄罗斯的依赖，许多国家开始寻求能源供应的多元化，增加与其他能源出口国的合作，以确保能源供应的稳定性。这将推动世界能源市场的结构调整，促使各国加强合作，以减少来自特定地区的能源供应风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俄罗斯和乌克兰之间的冲突对能源市场产生了显著的波动。稳定的能源供应、波动的能源价格以及多元化的能源供应成为应对这一局势的重要策略。政府和市场参与者需要积极采取措施，以减少冲突对能源市场的负面影响，并寻求长期的解决方案，以确保能源市场的稳定和可持续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14" w:name="_Toc256000014"/>
      <w:r>
        <w:rPr>
          <w:rFonts w:ascii="宋体" w:eastAsia="宋体" w:hAnsi="宋体" w:cs="宋体"/>
          <w:b/>
          <w:i w:val="0"/>
          <w:color w:val="333333"/>
          <w:sz w:val="27"/>
        </w:rPr>
        <w:t>4.2 农产品市场的变化</w:t>
      </w:r>
      <w:bookmarkEnd w:id="14"/>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农产品市场是全球贸易中的重要组成部分，而俄罗斯与乌克兰之间的冲突对这一市场产生了深远影响。农产品作为国际贸易中的主要商品之一，其价格波动和供求关系对全球农业产业链以及相关国家的经济稳定起着至关重要的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俄乌冲突对农产品市场的变化影响着全球粮食供应。乌克兰作为一个农业大国，其粮食出口量在全球占有重要地位。由于战争对乌克兰农业生产造成了巨大的冲击，粮食产量减少，导致全球粮食市场供应短缺。这进一步推动了粮食价格上涨，对于进口粮食依赖度较高的国家来说，这是一个严峻的挑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农产品市场的变化还体现在供需格局的改变上。受到战争的影响，乌克兰的农业生产能力受到了限制，这导致了乌克兰农产品的供应减少。同时，俄罗斯因政治局势不稳定，也在农业生产方面面临一定的困难。这种供应不稳定性对于农产品市场来说是一个重要变量，它引发了农产品价格的不断波动，给全球农业产业链带来了不确定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第三，农产品市场的变化还归因于贸易战的加剧。俄乌冲突引发了贸易战，导致了贸易关系的紧张和贸易壁垒的增加。这对农产品市场来说是一个重大冲击，因为农产品常常成为贸易争端的核心。贸易壁垒的增加导致了农产品进出口的限制，使得农产品市场的变化更加剧烈。</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体而言，俄罗斯与乌克兰之间的冲突对农产品市场产生了深远的影响。这一冲突导致了粮食供应短缺、供需格局的改变以及贸易壁垒的增加，进而使得农产品市场价格波动不定，给全球农业产业链带来了挑战。因此，研究俄罗斯与乌克兰之间冲突对中德贸易的影响时，必须充分考虑农产品市场的变化，以便更好地预测和应对可能的风险和机遇。</w:t>
      </w:r>
    </w:p>
    <w:p w:rsidR="00A77B3E">
      <w:pPr>
        <w:pStyle w:val="Heading2"/>
        <w:spacing w:before="300" w:after="300" w:line="525" w:lineRule="atLeast"/>
        <w:ind w:firstLineChars="0"/>
        <w:jc w:val="left"/>
        <w:rPr>
          <w:rFonts w:ascii="宋体" w:eastAsia="宋体" w:hAnsi="宋体" w:cs="宋体"/>
          <w:b/>
          <w:i w:val="0"/>
          <w:color w:val="333333"/>
          <w:sz w:val="27"/>
        </w:rPr>
      </w:pPr>
      <w:bookmarkStart w:id="15" w:name="_Toc256000015"/>
      <w:r>
        <w:rPr>
          <w:rFonts w:ascii="宋体" w:eastAsia="宋体" w:hAnsi="宋体" w:cs="宋体"/>
          <w:b/>
          <w:i w:val="0"/>
          <w:color w:val="333333"/>
          <w:sz w:val="27"/>
        </w:rPr>
        <w:t>4.3 贸易战的加剧</w:t>
      </w:r>
      <w:bookmarkEnd w:id="1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贸易战在国际市场上一直是一个具有重大影响力的因素。当国际贸易出现紧张局势时，不同国家之间采取的贸易限制措施往往会导致贸易战的加剧。在俄罗斯与乌克兰冲突升级的背景下，贸易战的加剧对于国际市场产生了显著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贸易战的加剧导致了国际贸易体系的动荡。受到贸易限制的影响，中德等国际贸易伙伴之间的贸易关系受到了严重的干扰。比如，中德两国在能源领域的合作受到了俄罗斯与乌克兰冲突的直接影响，导致能源供应链的不稳定，从而对能源市场造成了波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贸易战的加剧也引发了贸易保护主义的抬头。当贸易摩擦升级时，许多国家往往会采取更加保护自身市场的措施，例如提高关税、限制进口等。这种保护主义的行为不仅损害了国际贸易的自由化进程，还对全球经济增长产生了负面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贸易战的加剧还会导致全球经济增长的放缓。由于贸易摩擦的升级，全球经济体系面临的不确定性增加，投资和消费信心受到抑制，从而对全球经济造成了负面影响。这种放缓不仅会对中德等国家的出口和经济增长产生影响，还可能引发全球经济衰退的风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在俄罗斯与乌克兰之间的冲突加剧的背景下，贸易战的加剧对国际市场产生了诸多影响。这种加剧不仅导致了国际贸易体系的动荡，还引发了贸易保护主义的抬头以及全球经济增长放缓的风险。因此，中德等国家应该密切关注贸易战的发展态势，采取适当的调整和应对措施，以应对贸易战加剧对中德贸易的影响，并在不确定性的环境中寻求未来发展的机遇。</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16" w:name="_Toc256000016"/>
      <w:r>
        <w:rPr>
          <w:rFonts w:ascii="宋体" w:eastAsia="宋体" w:hAnsi="宋体" w:cs="宋体"/>
          <w:b/>
          <w:i w:val="0"/>
          <w:color w:val="333333"/>
          <w:sz w:val="32"/>
        </w:rPr>
        <w:t>五、 俄乌冲突对国际贸易战的影响</w:t>
      </w:r>
      <w:bookmarkEnd w:id="16"/>
    </w:p>
    <w:p w:rsidR="00A77B3E">
      <w:pPr>
        <w:pStyle w:val="Heading2"/>
        <w:spacing w:before="300" w:after="300" w:line="525" w:lineRule="atLeast"/>
        <w:ind w:firstLineChars="0"/>
        <w:jc w:val="left"/>
        <w:rPr>
          <w:rFonts w:ascii="宋体" w:eastAsia="宋体" w:hAnsi="宋体" w:cs="宋体"/>
          <w:b/>
          <w:i w:val="0"/>
          <w:color w:val="333333"/>
          <w:sz w:val="27"/>
        </w:rPr>
      </w:pPr>
      <w:bookmarkStart w:id="17" w:name="_Toc256000017"/>
      <w:r>
        <w:rPr>
          <w:rFonts w:ascii="宋体" w:eastAsia="宋体" w:hAnsi="宋体" w:cs="宋体"/>
          <w:b/>
          <w:i w:val="0"/>
          <w:color w:val="333333"/>
          <w:sz w:val="27"/>
        </w:rPr>
        <w:t>5.1 贸易战的加剧</w:t>
      </w:r>
      <w:bookmarkEnd w:id="1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贸易战的加剧对国际贸易和全球经济产生了深远的影响。在俄罗斯与乌克兰之间的冲突加剧的背景下，贸易战的升级进一步加剧了全球政治动荡的局势。</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贸易战的加剧导致了贸易伙伴之间的关系紧张。受制裁和贸易限制的影响，俄罗斯和乌克兰与中国和德国等重要贸易伙伴之间的贸易关系面临挑战。贸易战的升级可能导致贸易伙伴之间的关系恶化，进一步削弱国际贸易的稳定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贸易战的加剧可能导致全球市场动荡。由于贸易限制和贸易战的影响，商品的价格和供应链可能会发生剧烈波动。特别是在能源市场和农产品市场，贸易战的加剧可能导致供应和需求的不确定性，进而影响市场的稳定性和价格波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贸易战的加剧还可能引发贸易保护主义的抬头。在贸易限制和制裁的压力下，各国可能倾向于采取保护性贸易政策，以保护本国产业和市场。这种反应可能导致贸易壁垒的增加，阻碍全球贸易的自由化和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贸易战的加剧还可能导致全球经济增长放缓。贸易战的影响扩大到全球市场，可能导致投资和消费信心下降，企业利润减少，进而影响到全球经济的增长。特别是在中国和德国等出口大国，贸易战的加剧可能对这些国家的经济增长产生负面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贸易战的加剧对全球政治动荡产生了深远的影响。在俄罗斯与乌克兰之间的冲突升级的背景下，贸易战的加剧可能进一步削弱国际贸易的稳定性，导致全球市场的动荡，引发贸易保护主义的抬头，以及影响全球经济的增长。在这种情况下，中德贸易也不可避免地受到了贸易战的冲击，需要采取相应的调整和应对措施来保障贸易的稳定和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18" w:name="_Toc256000018"/>
      <w:r>
        <w:rPr>
          <w:rFonts w:ascii="宋体" w:eastAsia="宋体" w:hAnsi="宋体" w:cs="宋体"/>
          <w:b/>
          <w:i w:val="0"/>
          <w:color w:val="333333"/>
          <w:sz w:val="27"/>
        </w:rPr>
        <w:t>5.2 贸易保护主义的抬头</w:t>
      </w:r>
      <w:bookmarkEnd w:id="18"/>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国际贸易战和全球政治动荡之间的相互作用经常导致贸易保护主义的抬头。贸易保护主义是指一国或一组国家采取各种措施限制其他国家进口产品和服务的做法，旨在保护本国产业和就业机会。在俄罗斯与乌克兰之间的冲突对中德贸易的影响中，贸易保护主义的抬头是一个重要的影响因素。</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随着贸易战的升级，各国更倾向于采取贸易保护主义措施来应对外部压力。例如，某些国家可能采取提高进口关税、实行配额限制、采取反倾销措施等手段来限制乌克兰和俄罗斯的产品进入本国市场。这样的做法会导致中德贸易中的产品进口数量和种类受到限制，对中德贸易关系造成负面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贸易保护主义的抬头还可能引发贸易摩擦和贸易争端。当一个国家采取贸易保护主义措施限制进口时，其他受影响的国家可能会采取报复性措施，以保护自身利益。这种贸易摩擦和贸易争端可能导致中德贸易关系的不稳定和进一步恶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贸易保护主义的抬头也会影响国际投资环境和跨国公司的运营策略。由于保护主义政策的实施，跨国公司可能面临更高的进口成本、市场准入限制以及政府干预等问题，从而影响它们在中德贸易中的活动。这可能导致企业调整其投资决策和供应链策略，对中德贸易关系产生深远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因此，贸易保护主义的抬头在俄罗斯与乌克兰之间的冲突对中德贸易的影响中是一个需要关注的重要因素。政府和企业应密切关注贸易保护主义的动向，采取适当的政策和措施来应对潜在的贸易摩擦和贸易争端，以维护中德贸易的稳定和持续发展。此外，国际合作和多边主义也是应对贸易保护主义的重要途径，通过加强国际间的对话和合作，促进自由贸易和开放市场的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19" w:name="_Toc256000019"/>
      <w:r>
        <w:rPr>
          <w:rFonts w:ascii="宋体" w:eastAsia="宋体" w:hAnsi="宋体" w:cs="宋体"/>
          <w:b/>
          <w:i w:val="0"/>
          <w:color w:val="333333"/>
          <w:sz w:val="27"/>
        </w:rPr>
        <w:t>5.3 全球经济增长的放缓</w:t>
      </w:r>
      <w:bookmarkEnd w:id="19"/>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全球经济增长的放缓是俄罗斯与乌克兰冲突对国际贸易战产生的重要影响之一。随着两国之间的冲突不断升级，不稳定的局势已经对全球经济造成了明显的不利影响。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冲突导致了全球贸易的不确定性，阻碍了跨国企业的投资决策和国际贸易的发展。由于紧张局势的持续存在，投资者对未来的经济前景感到担忧，因此他们更加谨慎地对待跨境交易和国际贸易。这种不确定性削弱了全球经济的增长势头，使得全球经济增长速度放缓。</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冲突还引发了全球市场的动荡，进一步削弱了全球经济的增长势头。在冲突的背景下，市场需求和供应出现了波动，导致了大宗商品价格的下跌和市场波动加剧。这给全球市场带来了不确定性和风险，进而影响到全球经济的增长。</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冲突也导致了全球贸易保护主义的抬头，进一步限制了贸易自由化的进程。由于冲突导致的地缘政治风险，各国采取了更加保护主义的贸易政策，增加了贸易壁垒和关税。这种趋势使得国际贸易更加困难，对全球经济增长构成了阻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最后，冲突还对全球经济增长的推动因素产生了负面影响。冲突导致了资源的浪费和破坏，使得投资者更加谨慎和保守，不愿意进行大规模的投资，从而降低了全球经济的增长潜力。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的来说，俄罗斯与乌克兰冲突引发的全球经济动荡使得全球经济增长放缓。贸易不确定性、市场动荡、贸易保护主义的加剧以及投资者谨慎等因素都对全球经济产生了负面影响。因此，解决俄乌冲突有助于稳定全球经济局势，推动经济增长。</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20" w:name="_Toc256000020"/>
      <w:r>
        <w:rPr>
          <w:rFonts w:ascii="宋体" w:eastAsia="宋体" w:hAnsi="宋体" w:cs="宋体"/>
          <w:b/>
          <w:i w:val="0"/>
          <w:color w:val="333333"/>
          <w:sz w:val="32"/>
        </w:rPr>
        <w:t>六、 俄罗斯与乌克兰冲突对中德贸易的影响</w:t>
      </w:r>
      <w:bookmarkEnd w:id="20"/>
    </w:p>
    <w:p w:rsidR="00A77B3E">
      <w:pPr>
        <w:pStyle w:val="Heading2"/>
        <w:spacing w:before="300" w:after="300" w:line="525" w:lineRule="atLeast"/>
        <w:ind w:firstLineChars="0"/>
        <w:jc w:val="left"/>
        <w:rPr>
          <w:rFonts w:ascii="宋体" w:eastAsia="宋体" w:hAnsi="宋体" w:cs="宋体"/>
          <w:b/>
          <w:i w:val="0"/>
          <w:color w:val="333333"/>
          <w:sz w:val="27"/>
        </w:rPr>
      </w:pPr>
      <w:bookmarkStart w:id="21" w:name="_Toc256000021"/>
      <w:r>
        <w:rPr>
          <w:rFonts w:ascii="宋体" w:eastAsia="宋体" w:hAnsi="宋体" w:cs="宋体"/>
          <w:b/>
          <w:i w:val="0"/>
          <w:color w:val="333333"/>
          <w:sz w:val="27"/>
        </w:rPr>
        <w:t>6.1 中德贸易的受影响程度</w:t>
      </w:r>
      <w:bookmarkEnd w:id="21"/>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中德贸易是两国之间非常重要的经济合作领域，俄罗斯和乌克兰之间的冲突对这一合作关系的影响不容忽视。本章将分析俄乌冲突对中德贸易的实际影响程度。</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我们需要了解中德贸易的规模和结构。根据相关数据，中德之间的贸易额在过去几年中持续增长。德国是中国在欧洲最重要的贸易伙伴之一，而中国也是德国在亚洲最重要的贸易伙伴之一。两国之间的贸易涉及多个领域，包括汽车、机械设备、电子产品和化工产品等。这些领域都是两国经济发展的支柱产业，对两国的经济增长和就业都起到了重要作用。</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然而，俄乌冲突对中德贸易造成了一定的冲击。冲突导致了地区局势的不稳定和不确定性，这使德国企业在与俄罗斯和乌克兰的商业交易中面临更高的风险。一方面，冲突导致了贸易的停摆和减少。受到地缘政治形势的影响，德国企业在冲突地区的投资和贸易活动受到了限制。另一方面，冲突还引发了国际市场对贸易的不确定性，这使得德国企业在全球市场上的竞争力下降。由于贸易伙伴的不稳定，德国企业可能面临订单减少、市场份额的下降和利润的下降等问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除了贸易的减少和不确定性，俄乌冲突还对两国之间的投资合作产生了一定的影响。在地缘政治紧张的背景下，德国企业对俄罗斯和乌克兰的投资意愿可能会下降。不确定性的增加可能导致德国企业对这些国家的投资保持观望态度，这可能降低了中德贸易潜力的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俄乌冲突对中德贸易造成了一定的负面影响。尽管贸易额的直接减少可能不会太大，但冲突带来的不确定性和风险降低了中德贸易的发展潜力。因此，中德两国应积极应对俄乌冲突带来的挑战，加强沟通与合作，寻找新的合作机会和市场，以确保中德经济合作的稳定和持续发展。此外，中德双方也可以寻找其他贸易伙伴，以减轻对俄罗斯和乌克兰的依赖，从而降低冲突对双边贸易的影响。</w:t>
      </w:r>
    </w:p>
    <w:p w:rsidR="00A77B3E">
      <w:pPr>
        <w:pStyle w:val="Heading2"/>
        <w:spacing w:before="300" w:after="300" w:line="525" w:lineRule="atLeast"/>
        <w:ind w:firstLineChars="0"/>
        <w:jc w:val="left"/>
        <w:rPr>
          <w:rFonts w:ascii="宋体" w:eastAsia="宋体" w:hAnsi="宋体" w:cs="宋体"/>
          <w:b/>
          <w:i w:val="0"/>
          <w:color w:val="333333"/>
          <w:sz w:val="27"/>
        </w:rPr>
      </w:pPr>
      <w:bookmarkStart w:id="22" w:name="_Toc256000022"/>
      <w:r>
        <w:rPr>
          <w:rFonts w:ascii="宋体" w:eastAsia="宋体" w:hAnsi="宋体" w:cs="宋体"/>
          <w:b/>
          <w:i w:val="0"/>
          <w:color w:val="333333"/>
          <w:sz w:val="27"/>
        </w:rPr>
        <w:t>6.2 中德贸易的调整与应对</w:t>
      </w:r>
      <w:bookmarkEnd w:id="22"/>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在俄乌冲突对中德贸易造成的市场不稳定和贸易壁垒的情况下，中德两国必须积极采取措施来应对和调整。</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中德可以加强两国之间的经济合作和贸易往来。受到贸易战和政治动荡的影响，企业之间的贸易合作可能受到一定的影响。因此，中德可以通过加强双方的政府支持和合作，为企业提供更多的市场信息和贸易机会，以刺激贸易的增长与发展。同时，中德还可以利用双边投资协议和自由贸易协定等方式，进一步扩大贸易规模，降低贸易壁垒和风险，增进两国的经贸关系。</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中德可以寻找新的贸易伙伴和市场。面对俄罗斯与乌克兰冲突带来的不确定性和风险，中德可以积极寻求其他国家和地区的贸易合作机会。通过拓展新的贸易伙伴和市场，中德可以分散风险，减轻对俄乌冲突的依赖，并促进中德贸易的多元化和稳定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第三，中德可以加强贸易投保和风险管理。面对不确定性和风险的增加，中德企业可以采取贸易投保等风险管理措施来降低贸易风险。此外，中德还可以加强企业间的合作和信息共享，以更好地应对贸易战和政治动荡所带来的市场波动和挑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中德可以加强政府间的沟通和协调。政府间的互动和合作在调整和应对中德贸易受影响方面起到至关重要的作用。因此，中德两国政府可以加强沟通渠道，及时交流信息，共同制定政策和举措，以降低贸易战和政治动荡对双边贸易的影响，并共同促进中德贸易的稳定和可持续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面对俄罗斯与乌克兰冲突对中德贸易造成的不确定性和风险，中德应积极采取调整和应对措施。通过加强两国之间的经济合作和贸易往来，寻找新的贸易伙伴和市场，加强贸易投保和风险管理，以及加强政府间的沟通和协调，中德可以有效地应对和调整贸易受影响的局面，促进中德贸易的稳定和发展。</w:t>
      </w:r>
    </w:p>
    <w:p w:rsidR="00A77B3E">
      <w:pPr>
        <w:pStyle w:val="Heading2"/>
        <w:spacing w:before="300" w:after="300" w:line="525" w:lineRule="atLeast"/>
        <w:ind w:firstLineChars="0"/>
        <w:jc w:val="left"/>
        <w:rPr>
          <w:rFonts w:ascii="宋体" w:eastAsia="宋体" w:hAnsi="宋体" w:cs="宋体"/>
          <w:b/>
          <w:i w:val="0"/>
          <w:color w:val="333333"/>
          <w:sz w:val="27"/>
        </w:rPr>
      </w:pPr>
      <w:bookmarkStart w:id="23" w:name="_Toc256000023"/>
      <w:r>
        <w:rPr>
          <w:rFonts w:ascii="宋体" w:eastAsia="宋体" w:hAnsi="宋体" w:cs="宋体"/>
          <w:b/>
          <w:i w:val="0"/>
          <w:color w:val="333333"/>
          <w:sz w:val="27"/>
        </w:rPr>
        <w:t>6.3 中德贸易的未来发展趋势</w:t>
      </w:r>
      <w:bookmarkEnd w:id="23"/>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中德贸易在俄罗斯与乌克兰冲突的背景下面临诸多挑战和不确定因素。然而，尽管当前形势复杂且充满不确定性，中德贸易双方仍然面对广阔的合作机遇和潜力。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中德两国在经济领域的互补性将继续发挥重要作用。中国作为世界第二大经济体，市场需求的增长将继续推动对德国优质产品的需求。同时，德国在技术领域的优势和创新能力也将为中国提供更多的合作机会。因此，中德贸易的未来发展趋势将继续保持稳定增长。</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中德贸易受全球经济形势的影响较大。当前全球经济增长放缓以及贸易保护主义的抬头对中德贸易造成了一定的不利影响。然而，随着全球经济逐渐复苏和贸易环境的改善，中德贸易将有望迎来更好的发展机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中德两国在创新和绿色经济领域的合作潜力巨大。随着全球对可持续发展的需求增加，中德在环保技术和可再生能源等领域的合作将成为未来中德贸易的重要增长点。双方可以共同探索绿色经济的合作机会，加强资源共享和技术交流，提升中德贸易的创新能力和竞争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需要注意的是，中德贸易面临的不确定性和挑战也不容忽视。贸易保护主义的抬头、全球政治动荡以及相关国际贸易政策的变化都可能对中德贸易造成不利影响。因此，中德双方应密切关注全球贸易环境的变化，积极采取相应的应对措施，包括寻求多元市场和业务创新，以确保中德贸易的稳定和可持续发展。</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尽管俄罗斯与乌克兰冲突对中德贸易带来了一定的不确定性和压力，但中德贸易的未来发展趋势仍然充满希望。中德双方可以通过加强合作、推动创新和探索绿色经济合作等方式，共同应对挑战并寻求更多合作机遇，以实现中德贸易的可持续发展。</w:t>
      </w:r>
    </w:p>
    <w:p w:rsidR="00A77B3E">
      <w:pPr>
        <w:pStyle w:val="Heading1"/>
        <w:spacing w:before="300" w:after="300" w:line="600" w:lineRule="atLeast"/>
        <w:ind w:firstLineChars="0"/>
        <w:jc w:val="center"/>
        <w:rPr>
          <w:rFonts w:ascii="宋体" w:eastAsia="宋体" w:hAnsi="宋体" w:cs="宋体"/>
          <w:b/>
          <w:i w:val="0"/>
          <w:color w:val="333333"/>
          <w:sz w:val="32"/>
        </w:rPr>
      </w:pPr>
      <w:bookmarkStart w:id="24" w:name="_Toc256000024"/>
      <w:r>
        <w:rPr>
          <w:rFonts w:ascii="宋体" w:eastAsia="宋体" w:hAnsi="宋体" w:cs="宋体"/>
          <w:b/>
          <w:i w:val="0"/>
          <w:color w:val="333333"/>
          <w:sz w:val="32"/>
        </w:rPr>
        <w:t>七、 结论</w:t>
      </w:r>
      <w:bookmarkEnd w:id="24"/>
    </w:p>
    <w:p w:rsidR="00A77B3E">
      <w:pPr>
        <w:pStyle w:val="Heading2"/>
        <w:spacing w:before="300" w:after="300" w:line="525" w:lineRule="atLeast"/>
        <w:ind w:firstLineChars="0"/>
        <w:jc w:val="left"/>
        <w:rPr>
          <w:rFonts w:ascii="宋体" w:eastAsia="宋体" w:hAnsi="宋体" w:cs="宋体"/>
          <w:b/>
          <w:i w:val="0"/>
          <w:color w:val="333333"/>
          <w:sz w:val="27"/>
        </w:rPr>
      </w:pPr>
      <w:bookmarkStart w:id="25" w:name="_Toc256000025"/>
      <w:r>
        <w:rPr>
          <w:rFonts w:ascii="宋体" w:eastAsia="宋体" w:hAnsi="宋体" w:cs="宋体"/>
          <w:b/>
          <w:i w:val="0"/>
          <w:color w:val="333333"/>
          <w:sz w:val="27"/>
        </w:rPr>
        <w:t>7.1 研究俄罗斯与乌克兰之间的冲突对中德贸易的影响的总结</w:t>
      </w:r>
      <w:bookmarkEnd w:id="25"/>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俄罗斯与乌克兰之间的冲突对中德贸易的影响是本论文的主要目标。通过对全球政治动荡与贸易战对国际市场的影响进行分析，我们可以深入了解俄乌冲突对国际市场造成的波动以及其对中德贸易带来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俄乌冲突导致能源市场的波动对中德贸易产生了直接的影响。俄罗斯是世界上最大的能源出口国之一，而乌克兰作为能源过境国，扮演着关键角色。冲突使得能源供应链受到干扰，导致中德贸易中的能源产品价格波动，给企业运营带来了不确定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农产品市场也受到了俄乌冲突的影响。冲突导致乌克兰农业受损严重，该国是欧洲重要的粮食出口国之一。由于冲突造成了农田损失和生产能力下降，中德贸易中的农产品供应受到了冲击，价格上涨，进一步增加了企业成本。</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贸易战的加剧也对中德贸易产生了深远影响。面对贸易冲突的升级，中德两国企业必须面对更多的贸易壁垒和限制，包括关税增加、贸易差额扩大等。这些对贸易自由化和自由贸易区的破坏，使得中德贸易面临更大的不确定性和风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体而言，俄罗斯与乌克兰之间的冲突对中德贸易产生了负面影响。能源市场和农产品市场的不稳定性，以及贸易战的加剧，导致中德贸易面临着更多的挑战和困难。企业需要加强风险管理能力，寻找新的贸易机会和市场，以应对不确定性和压力。</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然而，虽然面临挑战，中德贸易仍然具有稳定的基础和广阔的发展空间。中德两国在贸易合作中具有紧密的联系和互补性优势。通过加强合作与创新，中德贸易可以找到新的增长动力和机会，并适应全球政治动荡带来的变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在未来的研究中，我们可以进一步探讨中德贸易的调整与应对策略，分析其未来发展趋势以及如何应对全球贸易环境的变化。此外，我们也需要关注研究中的局限性，并提出改进方向，以便更好地理解俄乌冲突对中德贸易的影响并提出相关政策建议。</w:t>
      </w:r>
    </w:p>
    <w:p w:rsidR="00A77B3E">
      <w:pPr>
        <w:pStyle w:val="Heading2"/>
        <w:spacing w:before="300" w:after="300" w:line="525" w:lineRule="atLeast"/>
        <w:ind w:firstLineChars="0"/>
        <w:jc w:val="left"/>
        <w:rPr>
          <w:rFonts w:ascii="宋体" w:eastAsia="宋体" w:hAnsi="宋体" w:cs="宋体"/>
          <w:b/>
          <w:i w:val="0"/>
          <w:color w:val="333333"/>
          <w:sz w:val="27"/>
        </w:rPr>
      </w:pPr>
      <w:bookmarkStart w:id="26" w:name="_Toc256000026"/>
      <w:r>
        <w:rPr>
          <w:rFonts w:ascii="宋体" w:eastAsia="宋体" w:hAnsi="宋体" w:cs="宋体"/>
          <w:b/>
          <w:i w:val="0"/>
          <w:color w:val="333333"/>
          <w:sz w:val="27"/>
        </w:rPr>
        <w:t>7.2 研究展望</w:t>
      </w:r>
      <w:bookmarkEnd w:id="26"/>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俄罗斯与乌克兰之间的冲突对中德贸易的影响是一个复杂的课题，当前许多研究都聚焦于过去发生的事件和现有的数据。然而，随着全球政治局势的不断变化，对于未来的展望变得尤为重要。因此，本篇论文的研究展望将侧重于以下几个方面。</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随着俄罗斯与乌克兰之间冲突的不断升级，中德贸易将面临更大的风险和挑战。因此，研究者可以进一步关注该冲突对中德贸易的持续影响，以及对中德贸易关系的未来发展趋势进行预测。这将有助于企业和政府制定相应的应对措施和政策。</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随着全球贸易环境的不稳定性增加，贸易保护主义的抬头不容忽视。境外市场的不确定性和不断变化的贸易政策将对中德贸易产生一定的负面影响。因此，未来的研究可以进一步探讨中德贸易在这种保护主义环境下的适应和应对策略。</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此外，全球经济增长的放缓也将对中德贸易产生影响。研究者可以继续关注全球经济的走势，尤其是与中德贸易主要合作伙伴相关的经济体，以预测未来的贸易活动和市场需求。这将有助于中德双方制定更加有效的合作策略，以缓解潜在的经济风险。</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本次研究也存在一些局限性，需要进行改进。首先，数据的准确性和可靠性对于分析中德贸易受影响程度的深入研究至关重要。因此，未来的研究可以进一步完善数据收集与分析的方法。其次，本次研究只关注了中德贸易，而未考虑其他国家和地区的影响，因此可以进一步扩大研究范围，以获得更全面的了解。</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综上所述，未来的研究可以继续深入探讨俄罗斯与乌克兰之间的冲突对中德贸易的影响，并关注全球政治动荡、国际市场以及贸易战等因素对中德贸易的影响。此外，还应继续完善数据收集与分析方法，扩大研究范围以获得更全面准确的研究结果。这些努力将有助于为中德贸易的未来发展提供更有针对性的建议和决策依据。</w:t>
      </w:r>
    </w:p>
    <w:p w:rsidR="00A77B3E">
      <w:pPr>
        <w:pStyle w:val="Heading2"/>
        <w:spacing w:before="300" w:after="300" w:line="525" w:lineRule="atLeast"/>
        <w:ind w:firstLineChars="0"/>
        <w:jc w:val="left"/>
        <w:rPr>
          <w:rFonts w:ascii="宋体" w:eastAsia="宋体" w:hAnsi="宋体" w:cs="宋体"/>
          <w:b/>
          <w:i w:val="0"/>
          <w:color w:val="333333"/>
          <w:sz w:val="27"/>
        </w:rPr>
      </w:pPr>
      <w:bookmarkStart w:id="27" w:name="_Toc256000027"/>
      <w:r>
        <w:rPr>
          <w:rFonts w:ascii="宋体" w:eastAsia="宋体" w:hAnsi="宋体" w:cs="宋体"/>
          <w:b/>
          <w:i w:val="0"/>
          <w:color w:val="333333"/>
          <w:sz w:val="27"/>
        </w:rPr>
        <w:t>7.3 研究局限与改进方向</w:t>
      </w:r>
      <w:bookmarkEnd w:id="27"/>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研究局限：</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首先，本研究的局限在于仅聚焦在俄罗斯与乌克兰之间的冲突对中德贸易的影响，而没有考虑其他国家和地区的情况。未来的研究可以将更多的国家和地区纳入考虑范围，以获取更全面的分析结果。</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尽管本研究试图分析贸易战、政治动荡和国际市场之间的互动关系，但对于这一复杂的关系，仍然存在不确定性和复杂性。因此，研究结论的可靠性可能受到一定的限制。未来的研究可以采用更多的方法和模型，以提高结论的可靠性和准确性。</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另外，本研究主要依赖于已发布的文献和统计数据进行分析，这可能会导致信息的有限性。因此，未来的研究可以采用更多的数据源和研究方法，以获得更准确和全面的结果。</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改进方向：</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首先，未来的研究可以考虑引入更多的因素和变量，以更好地解释全球政治动荡对贸易战和国际市场的影响。例如，可以考虑考察地缘政治因素、国际关系因素、经济政策因素等。</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其次，研究可以进一步细化和深入分析中德贸易的调整和应对策略。可以考虑具体行业和企业水平，了解不同企业和产业对冲突的敏感性，以及他们的应对策略。这样可以更好地洞察中德贸易的未来发展趋势。</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另外，本研究主要关注了贸易方面的影响，但政治动荡还可能对投资、金融市场等方面产生重要影响。未来的研究可以拓展分析的维度，全面考察政治动荡对中德贸易以外的方面的影响。</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最后，研究可以结合定性和定量方法，以获取更全面和准确的研究结果。定量分析可以提供统计数据支持，而定性分析可以深入理解参与者的观点和经验。</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总之，虽然本研究对于研究俄罗斯与乌克兰之间的冲突对中德贸易的影响具有重要意义，但仍然存在一些局限性。未来的研究可以更全面地考虑其他国家和地区、引入更多因素和变量、细化中德贸易的调整与应对策略，并结合定性和定量方法进行分析，以获取更全面、准确和可靠的研究结论。</w:t>
      </w:r>
    </w:p>
    <w:p w:rsidR="00A77B3E">
      <w:pPr>
        <w:pStyle w:val="Heading1"/>
        <w:spacing w:before="300" w:after="300" w:line="600" w:lineRule="atLeast"/>
        <w:ind w:firstLine="480" w:firstLineChars="200"/>
        <w:jc w:val="center"/>
        <w:rPr>
          <w:rFonts w:ascii="宋体" w:eastAsia="宋体" w:hAnsi="宋体" w:cs="宋体"/>
          <w:b/>
          <w:i w:val="0"/>
          <w:color w:val="333333"/>
          <w:sz w:val="32"/>
        </w:rPr>
      </w:pPr>
      <w:r>
        <w:rPr>
          <w:rFonts w:ascii="宋体" w:eastAsia="宋体" w:hAnsi="宋体" w:cs="宋体"/>
          <w:b w:val="0"/>
          <w:i w:val="0"/>
          <w:color w:val="333333"/>
          <w:sz w:val="24"/>
        </w:rPr>
        <w:br w:type="page"/>
      </w:r>
      <w:bookmarkStart w:id="28" w:name="_Toc256000028"/>
      <w:r>
        <w:rPr>
          <w:rFonts w:ascii="宋体" w:eastAsia="宋体" w:hAnsi="宋体" w:cs="宋体"/>
          <w:b/>
          <w:i w:val="0"/>
          <w:color w:val="333333"/>
          <w:sz w:val="32"/>
        </w:rPr>
        <w:t>致谢</w:t>
      </w:r>
      <w:bookmarkEnd w:id="28"/>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我要感谢所有在我完成这篇论文过程中给予我帮助和支持的人们。</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首先，我要感谢我的导师，他们在整个写作过程中给予了我无私的指导和建议。感谢您耐心地阅读我的草稿，提出宝贵的修改意见，让我能够不断完善我的论文。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我还要感谢我的家人和朋友们，你们在我写作过程中的鼓励和支持，让我能够坚持下去，克服困难，成功完成这篇论文。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另外，我要感谢我的同学们，你们为我提供了许多有关这个主题的讨论和思考，帮助我更好地理解和分析贸易战与国际市场的问题。</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最后，我要特别感谢所有为我提供资料和参考文献的机构和个人，没有你们的帮助，我无法完成这篇论文。</w:t>
      </w:r>
    </w:p>
    <w:p w:rsidR="00A77B3E">
      <w:pPr>
        <w:pStyle w:val="BodyText"/>
        <w:spacing w:before="0" w:after="0" w:line="450" w:lineRule="atLeast"/>
        <w:ind w:firstLine="480" w:firstLineChars="200"/>
        <w:jc w:val="left"/>
        <w:rPr>
          <w:rFonts w:ascii="宋体" w:eastAsia="宋体" w:hAnsi="宋体" w:cs="宋体"/>
          <w:b w:val="0"/>
          <w:i w:val="0"/>
          <w:color w:val="333333"/>
          <w:sz w:val="24"/>
        </w:rPr>
      </w:pPr>
      <w:r>
        <w:rPr>
          <w:rFonts w:ascii="宋体" w:eastAsia="宋体" w:hAnsi="宋体" w:cs="宋体"/>
          <w:b w:val="0"/>
          <w:i w:val="0"/>
          <w:color w:val="333333"/>
          <w:sz w:val="24"/>
        </w:rPr>
        <w:t>谢谢大家的支持和帮助！感谢您为我提供了一个学习和写作的机会，我会牢记您的帮助，并继续努力学习。</w:t>
      </w:r>
    </w:p>
    <w:p w:rsidR="00A77B3E">
      <w:pPr>
        <w:pStyle w:val="Heading1"/>
        <w:spacing w:before="0" w:beforeLines="200" w:after="0" w:afterLines="100" w:line="600" w:lineRule="exact"/>
        <w:ind w:firstLine="480" w:firstLineChars="200"/>
        <w:jc w:val="center"/>
        <w:rPr>
          <w:rFonts w:ascii="宋体" w:eastAsia="宋体" w:hAnsi="宋体" w:cs="宋体"/>
          <w:b/>
          <w:i w:val="0"/>
          <w:color w:val="333333"/>
          <w:sz w:val="32"/>
        </w:rPr>
      </w:pPr>
      <w:r>
        <w:rPr>
          <w:rFonts w:ascii="宋体" w:eastAsia="宋体" w:hAnsi="宋体" w:cs="宋体"/>
          <w:b w:val="0"/>
          <w:i w:val="0"/>
          <w:color w:val="333333"/>
          <w:sz w:val="24"/>
        </w:rPr>
        <w:br w:type="page"/>
      </w:r>
      <w:bookmarkStart w:id="29" w:name="_Toc256000029"/>
      <w:r>
        <w:rPr>
          <w:rFonts w:ascii="宋体" w:eastAsia="宋体" w:hAnsi="宋体" w:cs="宋体"/>
          <w:b/>
          <w:i w:val="0"/>
          <w:color w:val="333333"/>
          <w:sz w:val="32"/>
        </w:rPr>
        <w:t>参考文献</w:t>
      </w:r>
      <w:bookmarkEnd w:id="29"/>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[1]汪宁.普京的“俄罗斯新思想”[D].华东师范大学,2014.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[2]刘玉丽.借力与平衡[D].吉林大学,2020.</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[3]张建新.霸权体系与经济增长[D].复旦大学,2014.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[4]杨天宇.西方新全球秩序观研究[D].中国政法大学,2020.</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[5]黄金宇.FTA进程中日本农业议题谈判模式研究[D].辽宁大学,2018.</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[6]丁云宝.“一带一路”视域下的新地缘经济观与上海合作组织功能再造[D].上海社会科学院,2018.</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[7]马娆.欧美对华光伏产品反倾销现状分析与对策研究[D].山东大学,2014.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[8]逄爱成.冷战后美元霸权战略研究[D].吉林大学,2012.</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[9]李少丹.战后美国东亚政策的逻辑与重心[D].复旦大学,2016.</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[10]何传添.东盟经济外交研究[D].暨南大学,2014.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[11]蓝海涛.国际农业贸易制度与中国农业政策调整[D].南京农业大学,2014.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[12]吴敬东.中国与西欧关系的地缘政治分析[D].华中师范大学,2015.</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[13]李云霞.中印现代化比较研究[D].东北师范大学,2014.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[14]张永胜.论中国对外战略中的石油问题[D].中共中央党校,2014.</w:t>
      </w:r>
    </w:p>
    <w:p w:rsidR="00A77B3E">
      <w:pPr>
        <w:spacing w:line="375" w:lineRule="atLeast"/>
        <w:jc w:val="left"/>
        <w:rPr>
          <w:rFonts w:ascii="Times New Roman" w:eastAsia="Times New Roman" w:hAnsi="Times New Roman" w:cs="Times New Roman"/>
          <w:b w:val="0"/>
          <w:i w:val="0"/>
          <w:color w:val="333333"/>
          <w:sz w:val="21"/>
        </w:rPr>
      </w:pPr>
      <w:r>
        <w:rPr>
          <w:rFonts w:ascii="Times New Roman" w:eastAsia="Times New Roman" w:hAnsi="Times New Roman" w:cs="Times New Roman"/>
          <w:b w:val="0"/>
          <w:i w:val="0"/>
          <w:color w:val="333333"/>
          <w:sz w:val="21"/>
        </w:rPr>
        <w:t>[15]赵银亮.东南亚区域制度变迁与对外政策相关性研究[D].华东师范大学,2014.</w:t>
      </w:r>
    </w:p>
    <w:p w:rsidR="00A77B3E">
      <w:pPr>
        <w:spacing w:line="375" w:lineRule="atLeast"/>
        <w:jc w:val="left"/>
        <w:rPr>
          <w:rFonts w:ascii="Times New Roman" w:eastAsia="Times New Roman" w:hAnsi="Times New Roman" w:cs="Times New Roman"/>
          <w:b w:val="0"/>
          <w:i w:val="0"/>
          <w:color w:val="333333"/>
          <w:sz w:val="21"/>
        </w:rPr>
      </w:pPr>
    </w:p>
    <w:sect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rPr>
      <w:b w:val="0"/>
      <w:color w:val="333333"/>
      <w:sz w:val="24"/>
    </w:rPr>
  </w:style>
  <w:style w:type="paragraph" w:styleId="TOC2">
    <w:name w:val="toc 2"/>
    <w:basedOn w:val="Normal"/>
    <w:next w:val="Normal"/>
    <w:autoRedefine/>
    <w:rsid w:val="00805BCE"/>
    <w:pPr>
      <w:ind w:left="240"/>
    </w:pPr>
    <w:rPr>
      <w:b w:val="0"/>
      <w:color w:val="333333"/>
    </w:rPr>
  </w:style>
  <w:style w:type="paragraph" w:styleId="TOC3">
    <w:name w:val="toc 3"/>
    <w:basedOn w:val="Normal"/>
    <w:next w:val="Normal"/>
    <w:autoRedefine/>
    <w:rsid w:val="00805BCE"/>
    <w:pPr>
      <w:ind w:left="480"/>
    </w:pPr>
    <w:rPr>
      <w:b w:val="0"/>
      <w:color w:val="333333"/>
    </w:rPr>
  </w:style>
  <w:style w:type="paragraph" w:styleId="BodyText">
    <w:name w:val="Body Text"/>
    <w:basedOn w:val="Normal"/>
    <w:rsid w:val="00805BCE"/>
    <w:pPr>
      <w:spacing w:after="120"/>
    </w:p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19</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